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B3BA" w14:textId="36DD046D" w:rsidR="00E90DC9" w:rsidRPr="00244399" w:rsidRDefault="00CD126B" w:rsidP="00E90DC9">
      <w:pPr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Na podlagi </w:t>
      </w:r>
      <w:r w:rsidR="004E7038" w:rsidRPr="00244399">
        <w:rPr>
          <w:rFonts w:ascii="Arial" w:hAnsi="Arial" w:cs="Arial"/>
          <w:sz w:val="22"/>
          <w:szCs w:val="22"/>
        </w:rPr>
        <w:t xml:space="preserve">tretjega odstavka </w:t>
      </w:r>
      <w:r w:rsidRPr="00244399">
        <w:rPr>
          <w:rFonts w:ascii="Arial" w:hAnsi="Arial" w:cs="Arial"/>
          <w:sz w:val="22"/>
          <w:szCs w:val="22"/>
        </w:rPr>
        <w:t xml:space="preserve">129. člena v povezavi s 119. členom Zakona o urejanju prostora (Uradni list RS, št. </w:t>
      </w:r>
      <w:r w:rsidR="00327B9D" w:rsidRPr="00244399">
        <w:rPr>
          <w:rFonts w:ascii="Arial" w:hAnsi="Arial" w:cs="Arial"/>
          <w:iCs/>
          <w:sz w:val="22"/>
          <w:szCs w:val="22"/>
        </w:rPr>
        <w:t>199/21</w:t>
      </w:r>
      <w:r w:rsidR="00327B9D" w:rsidRPr="00244399">
        <w:rPr>
          <w:rFonts w:ascii="Arial" w:hAnsi="Arial" w:cs="Arial"/>
          <w:sz w:val="22"/>
          <w:szCs w:val="22"/>
        </w:rPr>
        <w:t xml:space="preserve">, 18/23 </w:t>
      </w:r>
      <w:r w:rsidR="00327B9D" w:rsidRPr="00244399">
        <w:rPr>
          <w:rFonts w:ascii="Arial" w:hAnsi="Arial" w:cs="Arial"/>
          <w:sz w:val="22"/>
          <w:szCs w:val="22"/>
          <w:shd w:val="clear" w:color="auto" w:fill="FFFFFF"/>
        </w:rPr>
        <w:t>– ZDU-1O, 78/23 – ZUNPEOVE, 95/23 – ZIUOPZP</w:t>
      </w:r>
      <w:r w:rsidR="004E7038" w:rsidRPr="00244399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327B9D" w:rsidRPr="00244399">
        <w:rPr>
          <w:rFonts w:ascii="Arial" w:hAnsi="Arial" w:cs="Arial"/>
          <w:sz w:val="22"/>
          <w:szCs w:val="22"/>
          <w:shd w:val="clear" w:color="auto" w:fill="FFFFFF"/>
        </w:rPr>
        <w:t xml:space="preserve"> 23/24</w:t>
      </w:r>
      <w:r w:rsidR="004E7038" w:rsidRPr="00244399">
        <w:rPr>
          <w:rFonts w:ascii="Arial" w:hAnsi="Arial" w:cs="Arial"/>
          <w:sz w:val="22"/>
          <w:szCs w:val="22"/>
          <w:shd w:val="clear" w:color="auto" w:fill="FFFFFF"/>
        </w:rPr>
        <w:t xml:space="preserve">, 109/24, 25/25 – </w:t>
      </w:r>
      <w:proofErr w:type="spellStart"/>
      <w:r w:rsidR="004E7038" w:rsidRPr="00244399">
        <w:rPr>
          <w:rFonts w:ascii="Arial" w:hAnsi="Arial" w:cs="Arial"/>
          <w:sz w:val="22"/>
          <w:szCs w:val="22"/>
          <w:shd w:val="clear" w:color="auto" w:fill="FFFFFF"/>
        </w:rPr>
        <w:t>odl</w:t>
      </w:r>
      <w:proofErr w:type="spellEnd"/>
      <w:r w:rsidR="004E7038" w:rsidRPr="00244399">
        <w:rPr>
          <w:rFonts w:ascii="Arial" w:hAnsi="Arial" w:cs="Arial"/>
          <w:sz w:val="22"/>
          <w:szCs w:val="22"/>
          <w:shd w:val="clear" w:color="auto" w:fill="FFFFFF"/>
        </w:rPr>
        <w:t>. US</w:t>
      </w:r>
      <w:r w:rsidR="00E93B11" w:rsidRPr="00244399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E7038" w:rsidRPr="00244399">
        <w:rPr>
          <w:rFonts w:ascii="Arial" w:hAnsi="Arial" w:cs="Arial"/>
          <w:sz w:val="22"/>
          <w:szCs w:val="22"/>
          <w:shd w:val="clear" w:color="auto" w:fill="FFFFFF"/>
        </w:rPr>
        <w:t xml:space="preserve"> 75/25</w:t>
      </w:r>
      <w:r w:rsidR="00E93B11" w:rsidRPr="00244399">
        <w:rPr>
          <w:rFonts w:ascii="Arial" w:hAnsi="Arial" w:cs="Arial"/>
          <w:sz w:val="22"/>
          <w:szCs w:val="22"/>
          <w:shd w:val="clear" w:color="auto" w:fill="FFFFFF"/>
        </w:rPr>
        <w:t xml:space="preserve"> in 14/26</w:t>
      </w:r>
      <w:r w:rsidR="004E7038" w:rsidRPr="00244399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244399">
        <w:rPr>
          <w:rFonts w:ascii="Arial" w:hAnsi="Arial" w:cs="Arial"/>
          <w:sz w:val="22"/>
          <w:szCs w:val="22"/>
        </w:rPr>
        <w:t xml:space="preserve"> </w:t>
      </w:r>
      <w:r w:rsidR="00E90DC9" w:rsidRPr="0024439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ter 29. člena </w:t>
      </w:r>
      <w:r w:rsidR="00E90DC9" w:rsidRPr="00244399">
        <w:rPr>
          <w:rFonts w:ascii="Arial" w:hAnsi="Arial" w:cs="Arial"/>
          <w:sz w:val="22"/>
          <w:szCs w:val="22"/>
        </w:rPr>
        <w:t>Statuta Občine Trebnje (Uradni list RS, št. 29/14</w:t>
      </w:r>
      <w:r w:rsidR="00F53DD0" w:rsidRPr="00244399">
        <w:rPr>
          <w:rFonts w:ascii="Arial" w:hAnsi="Arial" w:cs="Arial"/>
          <w:sz w:val="22"/>
          <w:szCs w:val="22"/>
        </w:rPr>
        <w:t>,</w:t>
      </w:r>
      <w:r w:rsidR="00E90DC9" w:rsidRPr="00244399">
        <w:rPr>
          <w:rFonts w:ascii="Arial" w:hAnsi="Arial" w:cs="Arial"/>
          <w:sz w:val="22"/>
          <w:szCs w:val="22"/>
        </w:rPr>
        <w:t xml:space="preserve"> 65/14 </w:t>
      </w:r>
      <w:r w:rsidR="006B2FB8" w:rsidRPr="00244399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E90DC9" w:rsidRPr="00244399">
        <w:rPr>
          <w:rFonts w:ascii="Arial" w:hAnsi="Arial" w:cs="Arial"/>
          <w:sz w:val="22"/>
          <w:szCs w:val="22"/>
        </w:rPr>
        <w:t>popr</w:t>
      </w:r>
      <w:proofErr w:type="spellEnd"/>
      <w:r w:rsidR="00E90DC9" w:rsidRPr="00244399">
        <w:rPr>
          <w:rFonts w:ascii="Arial" w:hAnsi="Arial" w:cs="Arial"/>
          <w:sz w:val="22"/>
          <w:szCs w:val="22"/>
        </w:rPr>
        <w:t>.</w:t>
      </w:r>
      <w:r w:rsidR="004E7038" w:rsidRPr="00244399">
        <w:rPr>
          <w:rFonts w:ascii="Arial" w:hAnsi="Arial" w:cs="Arial"/>
          <w:sz w:val="22"/>
          <w:szCs w:val="22"/>
        </w:rPr>
        <w:t>,</w:t>
      </w:r>
      <w:r w:rsidR="00F53DD0" w:rsidRPr="00244399">
        <w:rPr>
          <w:rFonts w:ascii="Arial" w:hAnsi="Arial" w:cs="Arial"/>
          <w:sz w:val="22"/>
          <w:szCs w:val="22"/>
        </w:rPr>
        <w:t xml:space="preserve"> 161/22</w:t>
      </w:r>
      <w:r w:rsidR="004E7038" w:rsidRPr="00244399">
        <w:rPr>
          <w:rFonts w:ascii="Arial" w:hAnsi="Arial" w:cs="Arial"/>
          <w:sz w:val="22"/>
          <w:szCs w:val="22"/>
        </w:rPr>
        <w:t xml:space="preserve"> in 44/25</w:t>
      </w:r>
      <w:r w:rsidR="00E90DC9" w:rsidRPr="00244399">
        <w:rPr>
          <w:rFonts w:ascii="Arial" w:hAnsi="Arial" w:cs="Arial"/>
          <w:sz w:val="22"/>
          <w:szCs w:val="22"/>
        </w:rPr>
        <w:t>) je župan</w:t>
      </w:r>
      <w:r w:rsidR="00A85C08" w:rsidRPr="00244399">
        <w:rPr>
          <w:rFonts w:ascii="Arial" w:hAnsi="Arial" w:cs="Arial"/>
          <w:sz w:val="22"/>
          <w:szCs w:val="22"/>
        </w:rPr>
        <w:t>ja</w:t>
      </w:r>
      <w:r w:rsidR="00E90DC9" w:rsidRPr="00244399">
        <w:rPr>
          <w:rFonts w:ascii="Arial" w:hAnsi="Arial" w:cs="Arial"/>
          <w:sz w:val="22"/>
          <w:szCs w:val="22"/>
        </w:rPr>
        <w:t xml:space="preserve"> Občine Trebnje</w:t>
      </w:r>
      <w:r w:rsidR="00F53DD0" w:rsidRPr="00244399">
        <w:rPr>
          <w:rFonts w:ascii="Arial" w:hAnsi="Arial" w:cs="Arial"/>
          <w:sz w:val="22"/>
          <w:szCs w:val="22"/>
        </w:rPr>
        <w:t xml:space="preserve"> </w:t>
      </w:r>
      <w:r w:rsidR="00E90DC9" w:rsidRPr="00244399">
        <w:rPr>
          <w:rFonts w:ascii="Arial" w:hAnsi="Arial" w:cs="Arial"/>
          <w:sz w:val="22"/>
          <w:szCs w:val="22"/>
        </w:rPr>
        <w:t>sprejel</w:t>
      </w:r>
      <w:r w:rsidR="00F53DD0" w:rsidRPr="00244399">
        <w:rPr>
          <w:rFonts w:ascii="Arial" w:hAnsi="Arial" w:cs="Arial"/>
          <w:sz w:val="22"/>
          <w:szCs w:val="22"/>
        </w:rPr>
        <w:t>a</w:t>
      </w:r>
    </w:p>
    <w:p w14:paraId="499C4436" w14:textId="77777777" w:rsidR="00395FF2" w:rsidRPr="00244399" w:rsidRDefault="00395FF2" w:rsidP="00E90DC9">
      <w:pPr>
        <w:jc w:val="center"/>
        <w:rPr>
          <w:rFonts w:ascii="Arial" w:hAnsi="Arial" w:cs="Arial"/>
          <w:b/>
          <w:sz w:val="22"/>
          <w:szCs w:val="22"/>
        </w:rPr>
      </w:pPr>
    </w:p>
    <w:p w14:paraId="6F16B212" w14:textId="77777777" w:rsidR="00B66C93" w:rsidRPr="00244399" w:rsidRDefault="00B66C93" w:rsidP="00E90DC9">
      <w:pPr>
        <w:jc w:val="center"/>
        <w:rPr>
          <w:rFonts w:ascii="Arial" w:hAnsi="Arial" w:cs="Arial"/>
          <w:b/>
          <w:sz w:val="22"/>
          <w:szCs w:val="22"/>
        </w:rPr>
      </w:pPr>
    </w:p>
    <w:p w14:paraId="5B2B9877" w14:textId="77777777" w:rsidR="00D15B0B" w:rsidRPr="00244399" w:rsidRDefault="00E90DC9" w:rsidP="00E90DC9">
      <w:pPr>
        <w:jc w:val="center"/>
        <w:rPr>
          <w:rFonts w:ascii="Arial" w:hAnsi="Arial" w:cs="Arial"/>
          <w:b/>
          <w:sz w:val="22"/>
          <w:szCs w:val="22"/>
        </w:rPr>
      </w:pPr>
      <w:r w:rsidRPr="00244399">
        <w:rPr>
          <w:rFonts w:ascii="Arial" w:hAnsi="Arial" w:cs="Arial"/>
          <w:b/>
          <w:sz w:val="22"/>
          <w:szCs w:val="22"/>
        </w:rPr>
        <w:t xml:space="preserve">SKLEP </w:t>
      </w:r>
    </w:p>
    <w:p w14:paraId="1619B130" w14:textId="0C19F729" w:rsidR="009121CD" w:rsidRPr="00244399" w:rsidRDefault="00E90DC9" w:rsidP="00E90DC9">
      <w:pPr>
        <w:jc w:val="center"/>
        <w:rPr>
          <w:rFonts w:ascii="Arial" w:hAnsi="Arial" w:cs="Arial"/>
          <w:b/>
          <w:sz w:val="22"/>
          <w:szCs w:val="22"/>
        </w:rPr>
      </w:pPr>
      <w:r w:rsidRPr="00244399">
        <w:rPr>
          <w:rFonts w:ascii="Arial" w:hAnsi="Arial" w:cs="Arial"/>
          <w:b/>
          <w:sz w:val="22"/>
          <w:szCs w:val="22"/>
        </w:rPr>
        <w:t xml:space="preserve">o pripravi </w:t>
      </w:r>
    </w:p>
    <w:p w14:paraId="478A9F20" w14:textId="55CA090B" w:rsidR="009121CD" w:rsidRPr="00244399" w:rsidRDefault="00FF7BC4" w:rsidP="00E90DC9">
      <w:pPr>
        <w:jc w:val="center"/>
        <w:rPr>
          <w:rFonts w:ascii="Arial" w:hAnsi="Arial" w:cs="Arial"/>
          <w:b/>
          <w:sz w:val="22"/>
          <w:szCs w:val="22"/>
        </w:rPr>
      </w:pPr>
      <w:r w:rsidRPr="00244399">
        <w:rPr>
          <w:rFonts w:ascii="Arial" w:hAnsi="Arial" w:cs="Arial"/>
          <w:b/>
          <w:sz w:val="22"/>
          <w:szCs w:val="22"/>
        </w:rPr>
        <w:t>O</w:t>
      </w:r>
      <w:r w:rsidR="009121CD" w:rsidRPr="00244399">
        <w:rPr>
          <w:rFonts w:ascii="Arial" w:hAnsi="Arial" w:cs="Arial"/>
          <w:b/>
          <w:sz w:val="22"/>
          <w:szCs w:val="22"/>
        </w:rPr>
        <w:t xml:space="preserve">bčinskega podrobnega prostorskega načrta </w:t>
      </w:r>
    </w:p>
    <w:p w14:paraId="12CAD8BE" w14:textId="2D0B0559" w:rsidR="00096189" w:rsidRPr="00244399" w:rsidRDefault="009121CD" w:rsidP="00E90DC9">
      <w:pPr>
        <w:jc w:val="center"/>
        <w:rPr>
          <w:rFonts w:ascii="Arial" w:hAnsi="Arial" w:cs="Arial"/>
          <w:b/>
          <w:sz w:val="22"/>
          <w:szCs w:val="22"/>
        </w:rPr>
      </w:pPr>
      <w:r w:rsidRPr="00244399">
        <w:rPr>
          <w:rFonts w:ascii="Arial" w:hAnsi="Arial" w:cs="Arial"/>
          <w:b/>
          <w:sz w:val="22"/>
          <w:szCs w:val="22"/>
        </w:rPr>
        <w:t xml:space="preserve">za trgovsko-industrijsko cono Trebnje </w:t>
      </w:r>
      <w:r w:rsidR="00BE25B0">
        <w:rPr>
          <w:rFonts w:ascii="Arial" w:hAnsi="Arial" w:cs="Arial"/>
          <w:b/>
          <w:sz w:val="22"/>
          <w:szCs w:val="22"/>
        </w:rPr>
        <w:t xml:space="preserve">– </w:t>
      </w:r>
      <w:r w:rsidRPr="00244399">
        <w:rPr>
          <w:rFonts w:ascii="Arial" w:hAnsi="Arial" w:cs="Arial"/>
          <w:b/>
          <w:sz w:val="22"/>
          <w:szCs w:val="22"/>
        </w:rPr>
        <w:t>2. faza</w:t>
      </w:r>
    </w:p>
    <w:p w14:paraId="746ADF67" w14:textId="77777777" w:rsidR="00395FF2" w:rsidRPr="00244399" w:rsidRDefault="00395FF2" w:rsidP="00E90DC9">
      <w:pPr>
        <w:jc w:val="both"/>
        <w:rPr>
          <w:rFonts w:ascii="Arial" w:hAnsi="Arial" w:cs="Arial"/>
          <w:sz w:val="22"/>
          <w:szCs w:val="22"/>
        </w:rPr>
      </w:pPr>
    </w:p>
    <w:p w14:paraId="0E78FC98" w14:textId="77777777" w:rsidR="00B66C93" w:rsidRPr="00244399" w:rsidRDefault="00B66C93" w:rsidP="00E90DC9">
      <w:pPr>
        <w:jc w:val="both"/>
        <w:rPr>
          <w:rFonts w:ascii="Arial" w:hAnsi="Arial" w:cs="Arial"/>
          <w:sz w:val="22"/>
          <w:szCs w:val="22"/>
        </w:rPr>
      </w:pPr>
    </w:p>
    <w:p w14:paraId="4C76BC90" w14:textId="77777777" w:rsidR="00E90DC9" w:rsidRPr="00244399" w:rsidRDefault="00E90DC9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1. člen</w:t>
      </w:r>
    </w:p>
    <w:p w14:paraId="022CAE78" w14:textId="77777777" w:rsidR="00E90DC9" w:rsidRPr="00244399" w:rsidRDefault="00E90DC9" w:rsidP="00E20A66">
      <w:pPr>
        <w:tabs>
          <w:tab w:val="num" w:pos="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(predmet sklepa)</w:t>
      </w:r>
    </w:p>
    <w:p w14:paraId="072DD005" w14:textId="05E682F5" w:rsidR="00E90DC9" w:rsidRPr="00244399" w:rsidRDefault="00E90DC9" w:rsidP="00D701B0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(1) S tem sklepom se začne postopek </w:t>
      </w:r>
      <w:r w:rsidR="002F3B9F" w:rsidRPr="00244399">
        <w:rPr>
          <w:rFonts w:ascii="Arial" w:hAnsi="Arial" w:cs="Arial"/>
          <w:sz w:val="22"/>
          <w:szCs w:val="22"/>
        </w:rPr>
        <w:t xml:space="preserve">priprave </w:t>
      </w:r>
      <w:r w:rsidR="00C13AD4" w:rsidRPr="00244399">
        <w:rPr>
          <w:rFonts w:ascii="Arial" w:hAnsi="Arial" w:cs="Arial"/>
          <w:sz w:val="22"/>
          <w:szCs w:val="22"/>
        </w:rPr>
        <w:t>O</w:t>
      </w:r>
      <w:r w:rsidR="002F3B9F" w:rsidRPr="00244399">
        <w:rPr>
          <w:rFonts w:ascii="Arial" w:hAnsi="Arial" w:cs="Arial"/>
          <w:sz w:val="22"/>
          <w:szCs w:val="22"/>
        </w:rPr>
        <w:t xml:space="preserve">bčinskega podrobnega prostorskega načrta za trgovsko-industrijsko cono </w:t>
      </w:r>
      <w:r w:rsidR="002F3B9F" w:rsidRPr="00D77C12">
        <w:rPr>
          <w:rFonts w:ascii="Arial" w:hAnsi="Arial" w:cs="Arial"/>
          <w:sz w:val="22"/>
          <w:szCs w:val="22"/>
        </w:rPr>
        <w:t xml:space="preserve">Trebnje </w:t>
      </w:r>
      <w:r w:rsidR="00D77C12" w:rsidRPr="00D77C12">
        <w:rPr>
          <w:rFonts w:ascii="Arial" w:hAnsi="Arial" w:cs="Arial"/>
          <w:sz w:val="22"/>
          <w:szCs w:val="22"/>
        </w:rPr>
        <w:t xml:space="preserve">– </w:t>
      </w:r>
      <w:r w:rsidR="002F3B9F" w:rsidRPr="00D77C12">
        <w:rPr>
          <w:rFonts w:ascii="Arial" w:hAnsi="Arial" w:cs="Arial"/>
          <w:sz w:val="22"/>
          <w:szCs w:val="22"/>
        </w:rPr>
        <w:t>2. faza (</w:t>
      </w:r>
      <w:r w:rsidR="001373A3" w:rsidRPr="00D77C12">
        <w:rPr>
          <w:rFonts w:ascii="Arial" w:hAnsi="Arial" w:cs="Arial"/>
          <w:sz w:val="22"/>
          <w:szCs w:val="22"/>
        </w:rPr>
        <w:t>v nadalj</w:t>
      </w:r>
      <w:r w:rsidR="002F3B9F" w:rsidRPr="00D77C12">
        <w:rPr>
          <w:rFonts w:ascii="Arial" w:hAnsi="Arial" w:cs="Arial"/>
          <w:sz w:val="22"/>
          <w:szCs w:val="22"/>
        </w:rPr>
        <w:t>njem</w:t>
      </w:r>
      <w:r w:rsidR="002F3B9F" w:rsidRPr="00244399">
        <w:rPr>
          <w:rFonts w:ascii="Arial" w:hAnsi="Arial" w:cs="Arial"/>
          <w:sz w:val="22"/>
          <w:szCs w:val="22"/>
        </w:rPr>
        <w:t xml:space="preserve"> besedilu</w:t>
      </w:r>
      <w:r w:rsidR="001373A3" w:rsidRPr="00244399">
        <w:rPr>
          <w:rFonts w:ascii="Arial" w:hAnsi="Arial" w:cs="Arial"/>
          <w:sz w:val="22"/>
          <w:szCs w:val="22"/>
        </w:rPr>
        <w:t xml:space="preserve">: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="00A71055" w:rsidRPr="00244399">
        <w:rPr>
          <w:rFonts w:ascii="Arial" w:hAnsi="Arial" w:cs="Arial"/>
          <w:sz w:val="22"/>
          <w:szCs w:val="22"/>
        </w:rPr>
        <w:t>)</w:t>
      </w:r>
      <w:r w:rsidR="001373A3" w:rsidRPr="00244399">
        <w:rPr>
          <w:rFonts w:ascii="Arial" w:hAnsi="Arial" w:cs="Arial"/>
          <w:sz w:val="22"/>
          <w:szCs w:val="22"/>
        </w:rPr>
        <w:t>.</w:t>
      </w:r>
      <w:r w:rsidRPr="00244399">
        <w:rPr>
          <w:rFonts w:ascii="Arial" w:hAnsi="Arial" w:cs="Arial"/>
          <w:sz w:val="22"/>
          <w:szCs w:val="22"/>
        </w:rPr>
        <w:t xml:space="preserve"> </w:t>
      </w:r>
    </w:p>
    <w:p w14:paraId="0D4C9A89" w14:textId="4D62AFB0" w:rsidR="00B3384E" w:rsidRPr="00244399" w:rsidRDefault="00E90DC9" w:rsidP="00B3384E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(2) </w:t>
      </w:r>
      <w:r w:rsidR="00B3384E" w:rsidRPr="00244399">
        <w:rPr>
          <w:rFonts w:ascii="Arial" w:hAnsi="Arial" w:cs="Arial"/>
          <w:sz w:val="22"/>
          <w:szCs w:val="22"/>
        </w:rPr>
        <w:t xml:space="preserve"> Pobudniki in investitorji izdelave OPPN so </w:t>
      </w:r>
      <w:r w:rsidR="00676806" w:rsidRPr="00244399">
        <w:rPr>
          <w:rFonts w:ascii="Arial" w:hAnsi="Arial" w:cs="Arial"/>
          <w:sz w:val="22"/>
          <w:szCs w:val="22"/>
        </w:rPr>
        <w:t>gospodarske družbe</w:t>
      </w:r>
      <w:r w:rsidR="00B3384E" w:rsidRPr="00244399">
        <w:rPr>
          <w:rFonts w:ascii="Arial" w:hAnsi="Arial" w:cs="Arial"/>
          <w:sz w:val="22"/>
          <w:szCs w:val="22"/>
        </w:rPr>
        <w:t>:</w:t>
      </w:r>
    </w:p>
    <w:p w14:paraId="4ED11F28" w14:textId="77777777" w:rsidR="00B3384E" w:rsidRPr="00244399" w:rsidRDefault="00B3384E" w:rsidP="00B3384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- </w:t>
      </w:r>
      <w:r w:rsidRPr="00244399">
        <w:rPr>
          <w:rFonts w:ascii="Arial" w:hAnsi="Arial" w:cs="Arial"/>
          <w:sz w:val="22"/>
          <w:szCs w:val="22"/>
        </w:rPr>
        <w:tab/>
        <w:t>Vita marketing, trgovina in šport, Trebnje, d.o.o., Studenec 24, 8210 Trebnje;</w:t>
      </w:r>
    </w:p>
    <w:p w14:paraId="47A533DF" w14:textId="77777777" w:rsidR="00B3384E" w:rsidRPr="00244399" w:rsidRDefault="00B3384E" w:rsidP="00B3384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- </w:t>
      </w:r>
      <w:r w:rsidRPr="00244399">
        <w:rPr>
          <w:rFonts w:ascii="Arial" w:hAnsi="Arial" w:cs="Arial"/>
          <w:sz w:val="22"/>
          <w:szCs w:val="22"/>
        </w:rPr>
        <w:tab/>
        <w:t xml:space="preserve">VENDOR šport in trgovina d.o.o., Stari trg 32A, 8210 Trebnje; </w:t>
      </w:r>
    </w:p>
    <w:p w14:paraId="27C3D2E5" w14:textId="27F42E36" w:rsidR="00B3384E" w:rsidRPr="00244399" w:rsidRDefault="00B3384E" w:rsidP="00B3384E">
      <w:p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- </w:t>
      </w:r>
      <w:r w:rsidRPr="00244399">
        <w:rPr>
          <w:rFonts w:ascii="Arial" w:hAnsi="Arial" w:cs="Arial"/>
          <w:sz w:val="22"/>
          <w:szCs w:val="22"/>
        </w:rPr>
        <w:tab/>
        <w:t>MSN d.o.o., Obrtniška ulica 51, 8210 Trebnje (</w:t>
      </w:r>
      <w:r w:rsidR="00C22692">
        <w:rPr>
          <w:rFonts w:ascii="Arial" w:hAnsi="Arial" w:cs="Arial"/>
          <w:sz w:val="22"/>
          <w:szCs w:val="22"/>
        </w:rPr>
        <w:t xml:space="preserve">vsi trije skupaj </w:t>
      </w:r>
      <w:r w:rsidRPr="00244399">
        <w:rPr>
          <w:rFonts w:ascii="Arial" w:hAnsi="Arial" w:cs="Arial"/>
          <w:sz w:val="22"/>
          <w:szCs w:val="22"/>
        </w:rPr>
        <w:t>v nadalj</w:t>
      </w:r>
      <w:r w:rsidR="00D77C12">
        <w:rPr>
          <w:rFonts w:ascii="Arial" w:hAnsi="Arial" w:cs="Arial"/>
          <w:sz w:val="22"/>
          <w:szCs w:val="22"/>
        </w:rPr>
        <w:t>njem besedilu</w:t>
      </w:r>
      <w:r w:rsidRPr="00244399">
        <w:rPr>
          <w:rFonts w:ascii="Arial" w:hAnsi="Arial" w:cs="Arial"/>
          <w:sz w:val="22"/>
          <w:szCs w:val="22"/>
        </w:rPr>
        <w:t>: pobudniki).</w:t>
      </w:r>
    </w:p>
    <w:p w14:paraId="36FBF92F" w14:textId="0638A91B" w:rsidR="00676806" w:rsidRPr="00244399" w:rsidRDefault="00D602D8" w:rsidP="00D77C12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(3) </w:t>
      </w:r>
      <w:r w:rsidR="00D77C12">
        <w:rPr>
          <w:rFonts w:ascii="Arial" w:hAnsi="Arial" w:cs="Arial"/>
          <w:sz w:val="22"/>
          <w:szCs w:val="22"/>
        </w:rPr>
        <w:t>Pobudniki so za izdelovalca OPPN izbrali gospodarsko družbo</w:t>
      </w:r>
      <w:r w:rsidRPr="00244399">
        <w:rPr>
          <w:rFonts w:ascii="Arial" w:hAnsi="Arial" w:cs="Arial"/>
          <w:sz w:val="22"/>
          <w:szCs w:val="22"/>
        </w:rPr>
        <w:t xml:space="preserve"> GPI gradbeno projektiranje in inženiring, d.o.o. Novo mesto, Kočevarjeva ulica 31, 8000 Novo mesto.</w:t>
      </w:r>
    </w:p>
    <w:p w14:paraId="7A80DF24" w14:textId="77777777" w:rsidR="0065165F" w:rsidRPr="00244399" w:rsidRDefault="0065165F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8CD849" w14:textId="16B6B66B" w:rsidR="00E90DC9" w:rsidRPr="00244399" w:rsidRDefault="00E90DC9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2. člen</w:t>
      </w:r>
    </w:p>
    <w:p w14:paraId="395258EA" w14:textId="74212517" w:rsidR="00E90DC9" w:rsidRPr="00244399" w:rsidRDefault="00E90DC9" w:rsidP="00E20A6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 xml:space="preserve">(območje </w:t>
      </w:r>
      <w:r w:rsidR="00D701B0" w:rsidRPr="00244399">
        <w:rPr>
          <w:rFonts w:ascii="Arial" w:hAnsi="Arial" w:cs="Arial"/>
          <w:b/>
          <w:bCs/>
          <w:sz w:val="22"/>
          <w:szCs w:val="22"/>
        </w:rPr>
        <w:t>OPPN</w:t>
      </w:r>
      <w:r w:rsidRPr="00244399">
        <w:rPr>
          <w:rFonts w:ascii="Arial" w:hAnsi="Arial" w:cs="Arial"/>
          <w:b/>
          <w:bCs/>
          <w:sz w:val="22"/>
          <w:szCs w:val="22"/>
        </w:rPr>
        <w:t>)</w:t>
      </w:r>
    </w:p>
    <w:p w14:paraId="2729CE2B" w14:textId="489322E2" w:rsidR="00E90DC9" w:rsidRPr="00244399" w:rsidRDefault="00E90DC9" w:rsidP="00E90DC9">
      <w:pPr>
        <w:autoSpaceDE w:val="0"/>
        <w:autoSpaceDN w:val="0"/>
        <w:adjustRightInd w:val="0"/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(1) </w:t>
      </w:r>
      <w:r w:rsidR="002517F4" w:rsidRPr="00244399">
        <w:rPr>
          <w:rFonts w:ascii="Arial" w:hAnsi="Arial" w:cs="Arial"/>
          <w:sz w:val="22"/>
          <w:szCs w:val="22"/>
        </w:rPr>
        <w:t xml:space="preserve">Območje OPPN se nahaja v </w:t>
      </w:r>
      <w:r w:rsidR="00F95C4A">
        <w:rPr>
          <w:rFonts w:ascii="Arial" w:hAnsi="Arial" w:cs="Arial"/>
          <w:sz w:val="22"/>
          <w:szCs w:val="22"/>
        </w:rPr>
        <w:t>o</w:t>
      </w:r>
      <w:r w:rsidR="00F95C4A" w:rsidRPr="00244399">
        <w:rPr>
          <w:rFonts w:ascii="Arial" w:hAnsi="Arial" w:cs="Arial"/>
          <w:sz w:val="22"/>
          <w:szCs w:val="22"/>
        </w:rPr>
        <w:t xml:space="preserve">bčini </w:t>
      </w:r>
      <w:r w:rsidR="00D54A62" w:rsidRPr="00244399">
        <w:rPr>
          <w:rFonts w:ascii="Arial" w:hAnsi="Arial" w:cs="Arial"/>
          <w:sz w:val="22"/>
          <w:szCs w:val="22"/>
        </w:rPr>
        <w:t>Trebnje</w:t>
      </w:r>
      <w:r w:rsidR="002517F4" w:rsidRPr="00244399">
        <w:rPr>
          <w:rFonts w:ascii="Arial" w:hAnsi="Arial" w:cs="Arial"/>
          <w:sz w:val="22"/>
          <w:szCs w:val="22"/>
        </w:rPr>
        <w:t xml:space="preserve">, obsega </w:t>
      </w:r>
      <w:r w:rsidR="00D54A62" w:rsidRPr="00244399">
        <w:rPr>
          <w:rFonts w:ascii="Arial" w:hAnsi="Arial" w:cs="Arial"/>
          <w:bCs/>
          <w:iCs/>
          <w:sz w:val="22"/>
          <w:szCs w:val="22"/>
        </w:rPr>
        <w:t xml:space="preserve">približno 3,3 ha in zajema zemljišča  </w:t>
      </w:r>
      <w:r w:rsidR="005C487E">
        <w:rPr>
          <w:rFonts w:ascii="Arial" w:hAnsi="Arial" w:cs="Arial"/>
          <w:bCs/>
          <w:iCs/>
          <w:sz w:val="22"/>
          <w:szCs w:val="22"/>
        </w:rPr>
        <w:t xml:space="preserve">s </w:t>
      </w:r>
      <w:r w:rsidR="00D54A62" w:rsidRPr="00244399">
        <w:rPr>
          <w:rFonts w:ascii="Arial" w:hAnsi="Arial" w:cs="Arial"/>
          <w:bCs/>
          <w:iCs/>
          <w:sz w:val="22"/>
          <w:szCs w:val="22"/>
        </w:rPr>
        <w:t>parc</w:t>
      </w:r>
      <w:r w:rsidR="005C487E">
        <w:rPr>
          <w:rFonts w:ascii="Arial" w:hAnsi="Arial" w:cs="Arial"/>
          <w:bCs/>
          <w:iCs/>
          <w:sz w:val="22"/>
          <w:szCs w:val="22"/>
        </w:rPr>
        <w:t>elnimi</w:t>
      </w:r>
      <w:r w:rsidR="00D54A62" w:rsidRPr="00244399">
        <w:rPr>
          <w:rFonts w:ascii="Arial" w:hAnsi="Arial" w:cs="Arial"/>
          <w:bCs/>
          <w:iCs/>
          <w:sz w:val="22"/>
          <w:szCs w:val="22"/>
        </w:rPr>
        <w:t xml:space="preserve"> št</w:t>
      </w:r>
      <w:r w:rsidR="005C487E">
        <w:rPr>
          <w:rFonts w:ascii="Arial" w:hAnsi="Arial" w:cs="Arial"/>
          <w:bCs/>
          <w:iCs/>
          <w:sz w:val="22"/>
          <w:szCs w:val="22"/>
        </w:rPr>
        <w:t>evilkami</w:t>
      </w:r>
      <w:r w:rsidR="00D54A62" w:rsidRPr="00244399">
        <w:rPr>
          <w:rFonts w:ascii="Arial" w:hAnsi="Arial" w:cs="Arial"/>
          <w:bCs/>
          <w:iCs/>
          <w:sz w:val="22"/>
          <w:szCs w:val="22"/>
        </w:rPr>
        <w:t xml:space="preserve"> 819/6, 820, 821, 822, 823/1 in 824/1, vse </w:t>
      </w:r>
      <w:r w:rsidR="005C487E">
        <w:rPr>
          <w:rFonts w:ascii="Arial" w:hAnsi="Arial" w:cs="Arial"/>
          <w:bCs/>
          <w:iCs/>
          <w:sz w:val="22"/>
          <w:szCs w:val="22"/>
        </w:rPr>
        <w:t>katastrska občina</w:t>
      </w:r>
      <w:r w:rsidR="00D54A62" w:rsidRPr="00244399">
        <w:rPr>
          <w:rFonts w:ascii="Arial" w:hAnsi="Arial" w:cs="Arial"/>
          <w:bCs/>
          <w:iCs/>
          <w:sz w:val="22"/>
          <w:szCs w:val="22"/>
        </w:rPr>
        <w:t xml:space="preserve"> 1422</w:t>
      </w:r>
      <w:r w:rsidR="008278B4">
        <w:rPr>
          <w:rFonts w:ascii="Arial" w:hAnsi="Arial" w:cs="Arial"/>
          <w:bCs/>
          <w:iCs/>
          <w:sz w:val="22"/>
          <w:szCs w:val="22"/>
        </w:rPr>
        <w:t xml:space="preserve"> – </w:t>
      </w:r>
      <w:r w:rsidR="00D54A62" w:rsidRPr="00244399">
        <w:rPr>
          <w:rFonts w:ascii="Arial" w:hAnsi="Arial" w:cs="Arial"/>
          <w:bCs/>
          <w:iCs/>
          <w:sz w:val="22"/>
          <w:szCs w:val="22"/>
        </w:rPr>
        <w:t>Trebnje</w:t>
      </w:r>
      <w:r w:rsidR="002517F4" w:rsidRPr="00244399">
        <w:rPr>
          <w:rFonts w:ascii="Arial" w:hAnsi="Arial" w:cs="Arial"/>
          <w:sz w:val="22"/>
          <w:szCs w:val="22"/>
        </w:rPr>
        <w:t>.</w:t>
      </w:r>
    </w:p>
    <w:p w14:paraId="2D9780D2" w14:textId="4FAE1F81" w:rsidR="00D54A62" w:rsidRPr="00244399" w:rsidRDefault="00E90DC9" w:rsidP="00D54A62">
      <w:pPr>
        <w:spacing w:after="10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(2) </w:t>
      </w:r>
      <w:bookmarkStart w:id="0" w:name="_Hlk155336800"/>
      <w:r w:rsidR="00D54A62" w:rsidRPr="00244399">
        <w:rPr>
          <w:rFonts w:ascii="Arial" w:eastAsia="Arial Unicode MS" w:hAnsi="Arial" w:cs="Arial"/>
          <w:bCs/>
          <w:sz w:val="22"/>
          <w:szCs w:val="22"/>
        </w:rPr>
        <w:t>Na podlagi določil Odloka</w:t>
      </w:r>
      <w:r w:rsidR="00D54A62" w:rsidRPr="00244399">
        <w:rPr>
          <w:rFonts w:ascii="Arial" w:hAnsi="Arial" w:cs="Arial"/>
          <w:bCs/>
          <w:sz w:val="22"/>
          <w:szCs w:val="22"/>
        </w:rPr>
        <w:t xml:space="preserve"> o občinskem prostorskem načrtu Občine Trebnje (</w:t>
      </w:r>
      <w:proofErr w:type="spellStart"/>
      <w:r w:rsidR="00D54A62" w:rsidRPr="00244399">
        <w:rPr>
          <w:rFonts w:ascii="Arial" w:hAnsi="Arial" w:cs="Arial"/>
          <w:sz w:val="22"/>
          <w:szCs w:val="22"/>
          <w:lang w:val="en-US"/>
        </w:rPr>
        <w:t>Uradni</w:t>
      </w:r>
      <w:proofErr w:type="spellEnd"/>
      <w:r w:rsidR="00D54A62" w:rsidRPr="00244399">
        <w:rPr>
          <w:rFonts w:ascii="Arial" w:hAnsi="Arial" w:cs="Arial"/>
          <w:sz w:val="22"/>
          <w:szCs w:val="22"/>
          <w:lang w:val="en-US"/>
        </w:rPr>
        <w:t xml:space="preserve"> list RS, </w:t>
      </w:r>
      <w:proofErr w:type="spellStart"/>
      <w:r w:rsidR="00D54A62" w:rsidRPr="00244399">
        <w:rPr>
          <w:rFonts w:ascii="Arial" w:hAnsi="Arial" w:cs="Arial"/>
          <w:sz w:val="22"/>
          <w:szCs w:val="22"/>
          <w:lang w:val="en-US"/>
        </w:rPr>
        <w:t>št</w:t>
      </w:r>
      <w:proofErr w:type="spellEnd"/>
      <w:r w:rsidR="00D54A62" w:rsidRPr="00244399">
        <w:rPr>
          <w:rFonts w:ascii="Arial" w:hAnsi="Arial" w:cs="Arial"/>
          <w:sz w:val="22"/>
          <w:szCs w:val="22"/>
          <w:lang w:val="en-US"/>
        </w:rPr>
        <w:t>. 50/13, 35/14</w:t>
      </w:r>
      <w:r w:rsidR="008636F6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="00D54A62" w:rsidRPr="00244399">
        <w:rPr>
          <w:rFonts w:ascii="Arial" w:hAnsi="Arial" w:cs="Arial"/>
          <w:sz w:val="22"/>
          <w:szCs w:val="22"/>
          <w:lang w:val="en-US"/>
        </w:rPr>
        <w:t>popr</w:t>
      </w:r>
      <w:proofErr w:type="spellEnd"/>
      <w:r w:rsidR="00D54A62" w:rsidRPr="00244399">
        <w:rPr>
          <w:rFonts w:ascii="Arial" w:hAnsi="Arial" w:cs="Arial"/>
          <w:sz w:val="22"/>
          <w:szCs w:val="22"/>
          <w:lang w:val="en-US"/>
        </w:rPr>
        <w:t xml:space="preserve">., 49/16, 14/18 </w:t>
      </w:r>
      <w:r w:rsidR="00D54A62" w:rsidRPr="00244399">
        <w:rPr>
          <w:rFonts w:ascii="Arial" w:hAnsi="Arial" w:cs="Arial"/>
          <w:sz w:val="22"/>
          <w:szCs w:val="22"/>
        </w:rPr>
        <w:t>–</w:t>
      </w:r>
      <w:r w:rsidR="00D54A62" w:rsidRPr="00244399">
        <w:rPr>
          <w:rFonts w:ascii="Arial" w:hAnsi="Arial" w:cs="Arial"/>
          <w:sz w:val="22"/>
          <w:szCs w:val="22"/>
          <w:lang w:val="en-US"/>
        </w:rPr>
        <w:t xml:space="preserve"> OROPN157, 72/18, 32/19 </w:t>
      </w:r>
      <w:r w:rsidR="00D54A62" w:rsidRPr="00244399">
        <w:rPr>
          <w:rFonts w:ascii="Arial" w:hAnsi="Arial" w:cs="Arial"/>
          <w:sz w:val="22"/>
          <w:szCs w:val="22"/>
        </w:rPr>
        <w:t>–</w:t>
      </w:r>
      <w:r w:rsidR="00D54A62" w:rsidRPr="00244399">
        <w:rPr>
          <w:rFonts w:ascii="Arial" w:hAnsi="Arial" w:cs="Arial"/>
          <w:sz w:val="22"/>
          <w:szCs w:val="22"/>
          <w:lang w:val="en-US"/>
        </w:rPr>
        <w:t xml:space="preserve"> OROPN57, 25/23, 19/24, 22/25, 44/25</w:t>
      </w:r>
      <w:r w:rsidR="00E93B11" w:rsidRPr="00244399">
        <w:rPr>
          <w:rFonts w:ascii="Arial" w:hAnsi="Arial" w:cs="Arial"/>
          <w:sz w:val="22"/>
          <w:szCs w:val="22"/>
          <w:lang w:val="en-US"/>
        </w:rPr>
        <w:t>,</w:t>
      </w:r>
      <w:r w:rsidR="00D54A62" w:rsidRPr="00244399">
        <w:rPr>
          <w:rFonts w:ascii="Arial" w:hAnsi="Arial" w:cs="Arial"/>
          <w:sz w:val="22"/>
          <w:szCs w:val="22"/>
          <w:lang w:val="en-US"/>
        </w:rPr>
        <w:t xml:space="preserve"> 76/25</w:t>
      </w:r>
      <w:r w:rsidR="00E93B11" w:rsidRPr="00244399">
        <w:rPr>
          <w:rFonts w:ascii="Arial" w:hAnsi="Arial" w:cs="Arial"/>
          <w:sz w:val="22"/>
          <w:szCs w:val="22"/>
          <w:lang w:val="en-US"/>
        </w:rPr>
        <w:t xml:space="preserve"> in 357/26</w:t>
      </w:r>
      <w:r w:rsidR="00431F32" w:rsidRPr="00244399">
        <w:rPr>
          <w:rFonts w:ascii="Arial" w:hAnsi="Arial" w:cs="Arial"/>
          <w:sz w:val="22"/>
          <w:szCs w:val="22"/>
          <w:lang w:val="en-US"/>
        </w:rPr>
        <w:t xml:space="preserve">; </w:t>
      </w:r>
      <w:r w:rsidR="00431F32" w:rsidRPr="00244399">
        <w:rPr>
          <w:rFonts w:ascii="Arial" w:hAnsi="Arial" w:cs="Arial"/>
          <w:sz w:val="22"/>
          <w:szCs w:val="22"/>
        </w:rPr>
        <w:t>v nadaljnjem besedilu: OPN</w:t>
      </w:r>
      <w:r w:rsidR="00D54A62" w:rsidRPr="00244399">
        <w:rPr>
          <w:rFonts w:ascii="Arial" w:hAnsi="Arial" w:cs="Arial"/>
          <w:bCs/>
          <w:sz w:val="22"/>
          <w:szCs w:val="22"/>
        </w:rPr>
        <w:t>) se</w:t>
      </w:r>
      <w:r w:rsidR="00D54A62" w:rsidRPr="00244399">
        <w:rPr>
          <w:rFonts w:ascii="Arial" w:eastAsia="Arial Unicode MS" w:hAnsi="Arial" w:cs="Arial"/>
          <w:bCs/>
          <w:sz w:val="22"/>
          <w:szCs w:val="22"/>
        </w:rPr>
        <w:t xml:space="preserve"> območje predvidenega OPPN nahaja v enotah urejanja prostora </w:t>
      </w:r>
      <w:r w:rsidR="00D54A62" w:rsidRPr="00244399">
        <w:rPr>
          <w:rFonts w:ascii="Arial" w:hAnsi="Arial" w:cs="Arial"/>
          <w:bCs/>
          <w:sz w:val="22"/>
          <w:szCs w:val="22"/>
        </w:rPr>
        <w:t>EUP TR058 IG (OPPN) in EUP TR059 IG (OPPN)</w:t>
      </w:r>
      <w:r w:rsidR="00D54A62" w:rsidRPr="00244399">
        <w:rPr>
          <w:rFonts w:ascii="Arial" w:eastAsia="Arial Unicode MS" w:hAnsi="Arial" w:cs="Arial"/>
          <w:bCs/>
          <w:sz w:val="22"/>
          <w:szCs w:val="22"/>
        </w:rPr>
        <w:t xml:space="preserve">, kjer je namenska raba prostora </w:t>
      </w:r>
      <w:r w:rsidR="00D54A62" w:rsidRPr="00244399">
        <w:rPr>
          <w:rFonts w:ascii="Arial" w:hAnsi="Arial" w:cs="Arial"/>
          <w:sz w:val="22"/>
          <w:szCs w:val="22"/>
        </w:rPr>
        <w:t>območje proizvodnih dejavnosti (IG – gospodarska cona)</w:t>
      </w:r>
      <w:r w:rsidR="00431F32" w:rsidRPr="00244399">
        <w:rPr>
          <w:rFonts w:ascii="Arial" w:hAnsi="Arial" w:cs="Arial"/>
          <w:sz w:val="22"/>
          <w:szCs w:val="22"/>
        </w:rPr>
        <w:t xml:space="preserve"> in so določeni prostorsko izvedbeni pogoji (PIP) za dvoranske objekte (d)</w:t>
      </w:r>
      <w:r w:rsidR="00D54A62" w:rsidRPr="00244399">
        <w:rPr>
          <w:rFonts w:ascii="Arial" w:hAnsi="Arial" w:cs="Arial"/>
          <w:sz w:val="22"/>
          <w:szCs w:val="22"/>
        </w:rPr>
        <w:t>.</w:t>
      </w:r>
    </w:p>
    <w:bookmarkEnd w:id="0"/>
    <w:p w14:paraId="61D2D883" w14:textId="6B1D4608" w:rsidR="00723635" w:rsidRPr="00244399" w:rsidRDefault="00E90DC9" w:rsidP="0065165F">
      <w:pPr>
        <w:autoSpaceDE w:val="0"/>
        <w:autoSpaceDN w:val="0"/>
        <w:adjustRightInd w:val="0"/>
        <w:spacing w:after="100"/>
        <w:ind w:firstLine="266"/>
        <w:jc w:val="both"/>
        <w:rPr>
          <w:rFonts w:ascii="Arial" w:hAnsi="Arial" w:cs="Arial"/>
          <w:bCs/>
          <w:iCs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(3) </w:t>
      </w:r>
      <w:r w:rsidR="002517F4" w:rsidRPr="00244399">
        <w:rPr>
          <w:rFonts w:ascii="Arial" w:hAnsi="Arial" w:cs="Arial"/>
          <w:sz w:val="22"/>
          <w:szCs w:val="22"/>
        </w:rPr>
        <w:t>Območje je določeno okvirno in se v postopku priprave OPPN lahko tudi spremeni z namenom, da se zagotovijo celovite urbanistične, funkcionalne in prometne ureditve obravnavanega območja ter ostale ureditve gospodarske javne infrastrukture.</w:t>
      </w:r>
      <w:r w:rsidR="00723635" w:rsidRPr="00244399">
        <w:rPr>
          <w:rFonts w:ascii="Arial" w:hAnsi="Arial" w:cs="Arial"/>
          <w:sz w:val="22"/>
          <w:szCs w:val="22"/>
        </w:rPr>
        <w:t xml:space="preserve"> </w:t>
      </w:r>
      <w:r w:rsidR="00723635" w:rsidRPr="00244399">
        <w:rPr>
          <w:rFonts w:ascii="Arial" w:hAnsi="Arial" w:cs="Arial"/>
          <w:bCs/>
          <w:iCs/>
          <w:sz w:val="22"/>
          <w:szCs w:val="22"/>
        </w:rPr>
        <w:t xml:space="preserve">Dodatno pa se zaradi </w:t>
      </w:r>
      <w:r w:rsidR="00723635" w:rsidRPr="00244399">
        <w:rPr>
          <w:rFonts w:ascii="Arial" w:hAnsi="Arial" w:cs="Arial"/>
          <w:sz w:val="22"/>
          <w:szCs w:val="22"/>
        </w:rPr>
        <w:t xml:space="preserve">izraženih interesov </w:t>
      </w:r>
      <w:r w:rsidR="00723635" w:rsidRPr="00244399">
        <w:rPr>
          <w:rFonts w:ascii="Arial" w:hAnsi="Arial" w:cs="Arial"/>
          <w:bCs/>
          <w:iCs/>
          <w:sz w:val="22"/>
          <w:szCs w:val="22"/>
        </w:rPr>
        <w:t>pobudnikov</w:t>
      </w:r>
      <w:r w:rsidR="00723635" w:rsidRPr="00244399">
        <w:rPr>
          <w:rFonts w:ascii="Arial" w:hAnsi="Arial" w:cs="Arial"/>
          <w:sz w:val="22"/>
          <w:szCs w:val="22"/>
        </w:rPr>
        <w:t xml:space="preserve"> </w:t>
      </w:r>
      <w:r w:rsidR="001678BA" w:rsidRPr="00244399">
        <w:rPr>
          <w:rFonts w:ascii="Arial" w:hAnsi="Arial" w:cs="Arial"/>
          <w:sz w:val="22"/>
          <w:szCs w:val="22"/>
        </w:rPr>
        <w:t xml:space="preserve">in glede na specifično situacijo </w:t>
      </w:r>
      <w:r w:rsidR="00723635" w:rsidRPr="00244399">
        <w:rPr>
          <w:rFonts w:ascii="Arial" w:hAnsi="Arial" w:cs="Arial"/>
          <w:bCs/>
          <w:iCs/>
          <w:sz w:val="22"/>
          <w:szCs w:val="22"/>
        </w:rPr>
        <w:t>dopusti še možnost povečanja gradbenih parcel, in sicer do cestnega koridorja</w:t>
      </w:r>
      <w:r w:rsidR="00723635" w:rsidRPr="00244399">
        <w:rPr>
          <w:rFonts w:ascii="Arial" w:hAnsi="Arial" w:cs="Arial"/>
          <w:iCs/>
          <w:sz w:val="22"/>
          <w:szCs w:val="22"/>
        </w:rPr>
        <w:t xml:space="preserve"> </w:t>
      </w:r>
      <w:r w:rsidR="00723635" w:rsidRPr="000750FF">
        <w:rPr>
          <w:rFonts w:ascii="Arial" w:hAnsi="Arial" w:cs="Arial"/>
          <w:iCs/>
          <w:sz w:val="22"/>
          <w:szCs w:val="22"/>
        </w:rPr>
        <w:t xml:space="preserve">predvidenega z </w:t>
      </w:r>
      <w:r w:rsidR="000750FF" w:rsidRPr="000750FF">
        <w:rPr>
          <w:rFonts w:ascii="Arial" w:hAnsi="Arial" w:cs="Arial"/>
          <w:bCs/>
          <w:sz w:val="22"/>
          <w:szCs w:val="22"/>
        </w:rPr>
        <w:t>Odlokom o Občinskem podrobnem prostorskem načrtu za trgovsko-industrijsko cono Trebnje (1. faza) (Uradni list RS, št. 14/18</w:t>
      </w:r>
      <w:r w:rsidR="00723635" w:rsidRPr="000750FF">
        <w:rPr>
          <w:rFonts w:ascii="Arial" w:hAnsi="Arial" w:cs="Arial"/>
          <w:bCs/>
          <w:sz w:val="22"/>
          <w:szCs w:val="22"/>
        </w:rPr>
        <w:t xml:space="preserve">), </w:t>
      </w:r>
      <w:r w:rsidR="00723635" w:rsidRPr="000750FF">
        <w:rPr>
          <w:rFonts w:ascii="Arial" w:hAnsi="Arial" w:cs="Arial"/>
          <w:bCs/>
          <w:iCs/>
          <w:sz w:val="22"/>
          <w:szCs w:val="22"/>
        </w:rPr>
        <w:t>ko bodo znane njegove končne parcelne meje ter pod pogojem, da se ta</w:t>
      </w:r>
      <w:r w:rsidR="00723635" w:rsidRPr="00244399">
        <w:rPr>
          <w:rFonts w:ascii="Arial" w:hAnsi="Arial" w:cs="Arial"/>
          <w:bCs/>
          <w:iCs/>
          <w:sz w:val="22"/>
          <w:szCs w:val="22"/>
        </w:rPr>
        <w:t xml:space="preserve"> dodani pas ureja tako, da ne bo zmanjšana prometna varnost in preglednost. </w:t>
      </w:r>
    </w:p>
    <w:p w14:paraId="1B9854F6" w14:textId="77777777" w:rsidR="00E90DC9" w:rsidRPr="00244399" w:rsidRDefault="00E90DC9" w:rsidP="00AA28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00112C" w14:textId="77777777" w:rsidR="00E90DC9" w:rsidRPr="00244399" w:rsidRDefault="00E90DC9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3. člen</w:t>
      </w:r>
    </w:p>
    <w:p w14:paraId="239F9A7B" w14:textId="77777777" w:rsidR="00E90DC9" w:rsidRPr="00244399" w:rsidRDefault="00E90DC9" w:rsidP="00E20A6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(predmet načrtovanja)</w:t>
      </w:r>
    </w:p>
    <w:p w14:paraId="3AEF75DE" w14:textId="77777777" w:rsidR="00431F32" w:rsidRPr="00244399" w:rsidRDefault="007E3090" w:rsidP="007E3090">
      <w:pPr>
        <w:spacing w:after="10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(1) </w:t>
      </w:r>
      <w:r w:rsidR="00431F32" w:rsidRPr="00244399">
        <w:rPr>
          <w:rFonts w:ascii="Arial" w:hAnsi="Arial" w:cs="Arial"/>
          <w:sz w:val="22"/>
          <w:szCs w:val="22"/>
        </w:rPr>
        <w:t xml:space="preserve">Območje urejanja je na podlagi OPN namenjeno za različne poslovne dejavnosti, kot so </w:t>
      </w:r>
      <w:r w:rsidR="00431F32" w:rsidRPr="00244399">
        <w:rPr>
          <w:rFonts w:ascii="Arial" w:hAnsi="Arial" w:cs="Arial"/>
          <w:bCs/>
          <w:sz w:val="22"/>
          <w:szCs w:val="22"/>
        </w:rPr>
        <w:t>proizvodne dejavnosti, prekladanje in skladiščenje, trgovina, storitve, gostinstvo, gradbeništvo, poslovni prostori (pisarne) ter šport in rekreacija, medtem ko bivanje ni dopustno.</w:t>
      </w:r>
    </w:p>
    <w:p w14:paraId="61A8486C" w14:textId="47E208A8" w:rsidR="007E3090" w:rsidRPr="00244399" w:rsidRDefault="00431F32" w:rsidP="007E3090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lastRenderedPageBreak/>
        <w:t xml:space="preserve">(2) </w:t>
      </w:r>
      <w:r w:rsidR="007E3090" w:rsidRPr="00244399">
        <w:rPr>
          <w:rFonts w:ascii="Arial" w:hAnsi="Arial" w:cs="Arial"/>
          <w:sz w:val="22"/>
          <w:szCs w:val="22"/>
        </w:rPr>
        <w:t xml:space="preserve">Predmet OPPN je določitev podrobnejših prostorsko izvedbenih pogojev za novo pozidavo za namen dovoljenih dejavnosti, zunanjo ureditev z zelenimi in manipulativnimi površinami, pogoje parcelacije, ureditev prometne infrastrukture ter ostale </w:t>
      </w:r>
      <w:proofErr w:type="spellStart"/>
      <w:r w:rsidR="007E3090" w:rsidRPr="00244399">
        <w:rPr>
          <w:rFonts w:ascii="Arial" w:hAnsi="Arial" w:cs="Arial"/>
          <w:sz w:val="22"/>
          <w:szCs w:val="22"/>
        </w:rPr>
        <w:t>okoljske</w:t>
      </w:r>
      <w:proofErr w:type="spellEnd"/>
      <w:r w:rsidR="007E3090" w:rsidRPr="00244399">
        <w:rPr>
          <w:rFonts w:ascii="Arial" w:hAnsi="Arial" w:cs="Arial"/>
          <w:sz w:val="22"/>
          <w:szCs w:val="22"/>
        </w:rPr>
        <w:t>, energetske ter komunikacijske infrastrukture, ki je potrebna za funkcioniranje predmetnega območja.</w:t>
      </w:r>
    </w:p>
    <w:p w14:paraId="4D9020EE" w14:textId="77777777" w:rsidR="0075543F" w:rsidRPr="00244399" w:rsidRDefault="0075543F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FF01F6" w14:textId="77777777" w:rsidR="00E90DC9" w:rsidRPr="00244399" w:rsidRDefault="00E90DC9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4. člen</w:t>
      </w:r>
    </w:p>
    <w:p w14:paraId="79FB128E" w14:textId="77777777" w:rsidR="00E90DC9" w:rsidRPr="00244399" w:rsidRDefault="00E90DC9" w:rsidP="00E20A6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(način pridobitve strokovnih rešitev)</w:t>
      </w:r>
    </w:p>
    <w:p w14:paraId="2A1EB65C" w14:textId="4E6E6091" w:rsidR="000868EA" w:rsidRPr="00244399" w:rsidRDefault="000868EA" w:rsidP="000868EA">
      <w:pPr>
        <w:autoSpaceDE w:val="0"/>
        <w:autoSpaceDN w:val="0"/>
        <w:adjustRightInd w:val="0"/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bookmarkStart w:id="1" w:name="_Hlk155336865"/>
      <w:r w:rsidRPr="00244399">
        <w:rPr>
          <w:rFonts w:ascii="Arial" w:hAnsi="Arial" w:cs="Arial"/>
          <w:sz w:val="22"/>
          <w:szCs w:val="22"/>
        </w:rPr>
        <w:t>(1) Pri pripravi OPPN se uporabljajo podatki iz prikaza stanja prostora, podatki veljavnih prostorskih izvedbenih aktov v območju in drugi podatki, pomembni za pripravo prostorskega akta, vključno s podatki nosilcev urejanja prostora.</w:t>
      </w:r>
    </w:p>
    <w:p w14:paraId="6D4FE768" w14:textId="07DCDEB2" w:rsidR="007E3090" w:rsidRPr="00244399" w:rsidRDefault="000868EA" w:rsidP="00461A52">
      <w:pPr>
        <w:pStyle w:val="Odstavekseznama"/>
        <w:autoSpaceDE w:val="0"/>
        <w:autoSpaceDN w:val="0"/>
        <w:adjustRightInd w:val="0"/>
        <w:spacing w:after="100"/>
        <w:ind w:left="0"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(2) </w:t>
      </w:r>
      <w:r w:rsidR="0053579A" w:rsidRPr="00244399">
        <w:rPr>
          <w:rFonts w:ascii="Arial" w:hAnsi="Arial" w:cs="Arial"/>
          <w:sz w:val="22"/>
          <w:szCs w:val="22"/>
        </w:rPr>
        <w:t xml:space="preserve">Podlaga za pripravo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="000B5B03" w:rsidRPr="00244399">
        <w:rPr>
          <w:rFonts w:ascii="Arial" w:hAnsi="Arial" w:cs="Arial"/>
          <w:sz w:val="22"/>
          <w:szCs w:val="22"/>
        </w:rPr>
        <w:t xml:space="preserve"> </w:t>
      </w:r>
      <w:r w:rsidR="00AA2C6B" w:rsidRPr="00244399">
        <w:rPr>
          <w:rFonts w:ascii="Arial" w:hAnsi="Arial" w:cs="Arial"/>
          <w:sz w:val="22"/>
          <w:szCs w:val="22"/>
        </w:rPr>
        <w:t xml:space="preserve">je </w:t>
      </w:r>
      <w:r w:rsidR="00972AA5" w:rsidRPr="00244399">
        <w:rPr>
          <w:rFonts w:ascii="Arial" w:hAnsi="Arial" w:cs="Arial"/>
          <w:sz w:val="22"/>
          <w:szCs w:val="22"/>
        </w:rPr>
        <w:t xml:space="preserve">idejna zasnova </w:t>
      </w:r>
      <w:r w:rsidR="00E362E3" w:rsidRPr="00244399">
        <w:rPr>
          <w:rFonts w:ascii="Arial" w:hAnsi="Arial" w:cs="Arial"/>
          <w:sz w:val="22"/>
          <w:szCs w:val="22"/>
        </w:rPr>
        <w:t xml:space="preserve">– </w:t>
      </w:r>
      <w:r w:rsidR="00AA2C6B" w:rsidRPr="00244399">
        <w:rPr>
          <w:rFonts w:ascii="Arial" w:hAnsi="Arial" w:cs="Arial"/>
          <w:sz w:val="22"/>
          <w:szCs w:val="22"/>
        </w:rPr>
        <w:t xml:space="preserve">IDZ </w:t>
      </w:r>
      <w:r w:rsidR="007E3090" w:rsidRPr="00244399">
        <w:rPr>
          <w:rFonts w:ascii="Arial" w:hAnsi="Arial" w:cs="Arial"/>
          <w:sz w:val="22"/>
          <w:szCs w:val="22"/>
        </w:rPr>
        <w:t xml:space="preserve">Poslovno skladiščni objekt Vita &amp; </w:t>
      </w:r>
      <w:proofErr w:type="spellStart"/>
      <w:r w:rsidR="007E3090" w:rsidRPr="00244399">
        <w:rPr>
          <w:rFonts w:ascii="Arial" w:hAnsi="Arial" w:cs="Arial"/>
          <w:sz w:val="22"/>
          <w:szCs w:val="22"/>
        </w:rPr>
        <w:t>Vendor</w:t>
      </w:r>
      <w:proofErr w:type="spellEnd"/>
      <w:r w:rsidR="007E3090" w:rsidRPr="00244399">
        <w:rPr>
          <w:rFonts w:ascii="Arial" w:hAnsi="Arial" w:cs="Arial"/>
          <w:sz w:val="22"/>
          <w:szCs w:val="22"/>
        </w:rPr>
        <w:t xml:space="preserve"> - novogradnja (št. proj. 170310/25, april 2025, dopolnitev november 2025, izdelal: </w:t>
      </w:r>
      <w:proofErr w:type="spellStart"/>
      <w:r w:rsidR="007E3090" w:rsidRPr="00244399">
        <w:rPr>
          <w:rFonts w:ascii="Arial" w:hAnsi="Arial" w:cs="Arial"/>
          <w:sz w:val="22"/>
          <w:szCs w:val="22"/>
        </w:rPr>
        <w:t>Gi</w:t>
      </w:r>
      <w:proofErr w:type="spellEnd"/>
      <w:r w:rsidR="007E3090" w:rsidRPr="00244399">
        <w:rPr>
          <w:rFonts w:ascii="Arial" w:hAnsi="Arial" w:cs="Arial"/>
          <w:sz w:val="22"/>
          <w:szCs w:val="22"/>
        </w:rPr>
        <w:t xml:space="preserve"> gradbeni inženiring Zakrajšek, d.o.o., Rimska cesta 10a, 8210 Trebnje)</w:t>
      </w:r>
      <w:r w:rsidR="00461A52" w:rsidRPr="00244399">
        <w:rPr>
          <w:rFonts w:ascii="Arial" w:hAnsi="Arial" w:cs="Arial"/>
          <w:sz w:val="22"/>
          <w:szCs w:val="22"/>
        </w:rPr>
        <w:t>.</w:t>
      </w:r>
    </w:p>
    <w:bookmarkEnd w:id="1"/>
    <w:p w14:paraId="1C6071E5" w14:textId="68A18163" w:rsidR="00E90DC9" w:rsidRPr="00244399" w:rsidRDefault="00E90DC9" w:rsidP="00E90DC9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(</w:t>
      </w:r>
      <w:r w:rsidR="00461A52" w:rsidRPr="00244399">
        <w:rPr>
          <w:rFonts w:ascii="Arial" w:hAnsi="Arial" w:cs="Arial"/>
          <w:sz w:val="22"/>
          <w:szCs w:val="22"/>
        </w:rPr>
        <w:t>3</w:t>
      </w:r>
      <w:r w:rsidRPr="00244399">
        <w:rPr>
          <w:rFonts w:ascii="Arial" w:hAnsi="Arial" w:cs="Arial"/>
          <w:sz w:val="22"/>
          <w:szCs w:val="22"/>
        </w:rPr>
        <w:t xml:space="preserve">) </w:t>
      </w:r>
      <w:r w:rsidR="00461A52" w:rsidRPr="00244399">
        <w:rPr>
          <w:rFonts w:ascii="Arial" w:hAnsi="Arial" w:cs="Arial"/>
          <w:sz w:val="22"/>
          <w:szCs w:val="22"/>
        </w:rPr>
        <w:t>Skladno z 68. členom ZUreP-3 se izdela elaborat ekonomike.</w:t>
      </w:r>
    </w:p>
    <w:p w14:paraId="43DD4C64" w14:textId="349291BD" w:rsidR="008D33FB" w:rsidRPr="00244399" w:rsidRDefault="008D33FB" w:rsidP="00461A52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(</w:t>
      </w:r>
      <w:r w:rsidR="00461A52" w:rsidRPr="00244399">
        <w:rPr>
          <w:rFonts w:ascii="Arial" w:hAnsi="Arial" w:cs="Arial"/>
          <w:sz w:val="22"/>
          <w:szCs w:val="22"/>
        </w:rPr>
        <w:t>4</w:t>
      </w:r>
      <w:r w:rsidRPr="00244399">
        <w:rPr>
          <w:rFonts w:ascii="Arial" w:hAnsi="Arial" w:cs="Arial"/>
          <w:sz w:val="22"/>
          <w:szCs w:val="22"/>
        </w:rPr>
        <w:t xml:space="preserve">) Izdelajo se vse obvezne strokovne podlage in strokovne podlage ter študije, ki se izkažejo za potrebne v postopku priprave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="004F5473" w:rsidRPr="00244399">
        <w:rPr>
          <w:rFonts w:ascii="Arial" w:hAnsi="Arial" w:cs="Arial"/>
          <w:sz w:val="22"/>
          <w:szCs w:val="22"/>
        </w:rPr>
        <w:t xml:space="preserve"> </w:t>
      </w:r>
      <w:r w:rsidRPr="00244399">
        <w:rPr>
          <w:rFonts w:ascii="Arial" w:hAnsi="Arial" w:cs="Arial"/>
          <w:sz w:val="22"/>
          <w:szCs w:val="22"/>
        </w:rPr>
        <w:t>ali na zahtevo nosilcev urejanja prostora, ki jih zagotovi</w:t>
      </w:r>
      <w:r w:rsidR="007E3090" w:rsidRPr="00244399">
        <w:rPr>
          <w:rFonts w:ascii="Arial" w:hAnsi="Arial" w:cs="Arial"/>
          <w:sz w:val="22"/>
          <w:szCs w:val="22"/>
        </w:rPr>
        <w:t>jo</w:t>
      </w:r>
      <w:r w:rsidRPr="00244399">
        <w:rPr>
          <w:rFonts w:ascii="Arial" w:hAnsi="Arial" w:cs="Arial"/>
          <w:sz w:val="22"/>
          <w:szCs w:val="22"/>
        </w:rPr>
        <w:t xml:space="preserve"> pobudnik</w:t>
      </w:r>
      <w:r w:rsidR="007E3090" w:rsidRPr="00244399">
        <w:rPr>
          <w:rFonts w:ascii="Arial" w:hAnsi="Arial" w:cs="Arial"/>
          <w:sz w:val="22"/>
          <w:szCs w:val="22"/>
        </w:rPr>
        <w:t>i</w:t>
      </w:r>
      <w:r w:rsidRPr="00244399">
        <w:rPr>
          <w:rFonts w:ascii="Arial" w:hAnsi="Arial" w:cs="Arial"/>
          <w:sz w:val="22"/>
          <w:szCs w:val="22"/>
        </w:rPr>
        <w:t>.</w:t>
      </w:r>
    </w:p>
    <w:p w14:paraId="25E0D622" w14:textId="77777777" w:rsidR="00E90DC9" w:rsidRPr="00244399" w:rsidRDefault="00E90DC9" w:rsidP="00E90DC9">
      <w:pPr>
        <w:jc w:val="both"/>
        <w:rPr>
          <w:rFonts w:ascii="Arial" w:hAnsi="Arial" w:cs="Arial"/>
          <w:sz w:val="22"/>
          <w:szCs w:val="22"/>
        </w:rPr>
      </w:pPr>
    </w:p>
    <w:p w14:paraId="3D838E06" w14:textId="77777777" w:rsidR="00E90DC9" w:rsidRPr="00244399" w:rsidRDefault="00E90DC9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5. člen</w:t>
      </w:r>
    </w:p>
    <w:p w14:paraId="7AEC5471" w14:textId="77777777" w:rsidR="00E90DC9" w:rsidRPr="00244399" w:rsidRDefault="00E90DC9" w:rsidP="00E20A6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(vrsta postopka)</w:t>
      </w:r>
    </w:p>
    <w:p w14:paraId="0FDA182D" w14:textId="76CAABCF" w:rsidR="00E90DC9" w:rsidRPr="00244399" w:rsidRDefault="00D701B0" w:rsidP="0065165F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OPPN se pripravi po rednem postopku, za kar se skladno s 129. členom ZUreP-3 smiselno uporabijo določbe zakona, ki določajo postopek priprave in sprejetja občinskega prostorskega načrta.</w:t>
      </w:r>
    </w:p>
    <w:p w14:paraId="4D5192DC" w14:textId="77777777" w:rsidR="00E90DC9" w:rsidRPr="00244399" w:rsidRDefault="00E90DC9" w:rsidP="00E90DC9">
      <w:pPr>
        <w:jc w:val="both"/>
        <w:rPr>
          <w:rFonts w:ascii="Arial" w:hAnsi="Arial" w:cs="Arial"/>
          <w:sz w:val="22"/>
          <w:szCs w:val="22"/>
        </w:rPr>
      </w:pPr>
    </w:p>
    <w:p w14:paraId="4D7BDA56" w14:textId="25C8C631" w:rsidR="00E90DC9" w:rsidRPr="00244399" w:rsidRDefault="00CB7040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6</w:t>
      </w:r>
      <w:r w:rsidR="00E90DC9" w:rsidRPr="00244399">
        <w:rPr>
          <w:rFonts w:ascii="Arial" w:hAnsi="Arial" w:cs="Arial"/>
          <w:b/>
          <w:bCs/>
          <w:sz w:val="22"/>
          <w:szCs w:val="22"/>
        </w:rPr>
        <w:t>. člen</w:t>
      </w:r>
    </w:p>
    <w:p w14:paraId="2373FBF9" w14:textId="692DD9B5" w:rsidR="00E90DC9" w:rsidRPr="00244399" w:rsidRDefault="00E90DC9" w:rsidP="00E20A6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 xml:space="preserve">(roki in faze postopka priprave </w:t>
      </w:r>
      <w:r w:rsidR="00B01DCB" w:rsidRPr="00244399">
        <w:rPr>
          <w:rFonts w:ascii="Arial" w:hAnsi="Arial" w:cs="Arial"/>
          <w:b/>
          <w:bCs/>
          <w:sz w:val="22"/>
          <w:szCs w:val="22"/>
        </w:rPr>
        <w:t>OPPN</w:t>
      </w:r>
      <w:r w:rsidRPr="00244399">
        <w:rPr>
          <w:rFonts w:ascii="Arial" w:hAnsi="Arial" w:cs="Arial"/>
          <w:b/>
          <w:bCs/>
          <w:sz w:val="22"/>
          <w:szCs w:val="22"/>
        </w:rPr>
        <w:t>)</w:t>
      </w:r>
    </w:p>
    <w:p w14:paraId="3396340F" w14:textId="404BA6EE" w:rsidR="00E90DC9" w:rsidRPr="00244399" w:rsidRDefault="00B01DCB" w:rsidP="00AC7604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OPPN</w:t>
      </w:r>
      <w:r w:rsidR="00B926BC" w:rsidRPr="00244399">
        <w:rPr>
          <w:rFonts w:ascii="Arial" w:hAnsi="Arial" w:cs="Arial"/>
          <w:sz w:val="22"/>
          <w:szCs w:val="22"/>
        </w:rPr>
        <w:t xml:space="preserve"> </w:t>
      </w:r>
      <w:r w:rsidR="00AC7604" w:rsidRPr="00244399">
        <w:rPr>
          <w:rFonts w:ascii="Arial" w:hAnsi="Arial" w:cs="Arial"/>
          <w:sz w:val="22"/>
          <w:szCs w:val="22"/>
        </w:rPr>
        <w:t>se izdeluje in postopek priprave vodi v</w:t>
      </w:r>
      <w:r w:rsidR="00E90DC9" w:rsidRPr="00244399">
        <w:rPr>
          <w:rFonts w:ascii="Arial" w:hAnsi="Arial" w:cs="Arial"/>
          <w:sz w:val="22"/>
          <w:szCs w:val="22"/>
        </w:rPr>
        <w:t xml:space="preserve"> naslednjih fazah</w:t>
      </w:r>
      <w:r w:rsidR="00AC7604" w:rsidRPr="00244399">
        <w:rPr>
          <w:rFonts w:ascii="Arial" w:hAnsi="Arial" w:cs="Arial"/>
          <w:sz w:val="22"/>
          <w:szCs w:val="22"/>
        </w:rPr>
        <w:t xml:space="preserve"> in okvirnih rokih</w:t>
      </w:r>
      <w:r w:rsidR="00E90DC9" w:rsidRPr="00244399">
        <w:rPr>
          <w:rFonts w:ascii="Arial" w:hAnsi="Arial" w:cs="Arial"/>
          <w:sz w:val="22"/>
          <w:szCs w:val="22"/>
        </w:rPr>
        <w:t>:</w:t>
      </w:r>
    </w:p>
    <w:p w14:paraId="7D0970B1" w14:textId="5D15D339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Hlk219370652"/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priprava pobude in osnove za pripravo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>;</w:t>
      </w:r>
    </w:p>
    <w:p w14:paraId="421C6203" w14:textId="6F329195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objava pobude in osnove za pripravo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>, pridobitev predlogov in usmeritev javnosti;</w:t>
      </w:r>
    </w:p>
    <w:p w14:paraId="07D542EE" w14:textId="4BE81A2D" w:rsidR="00AC7604" w:rsidRPr="00244399" w:rsidRDefault="00AC7604" w:rsidP="00387AA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priprava in objava Sklepa o pripravi </w:t>
      </w:r>
      <w:r w:rsidR="007D3F33" w:rsidRPr="00244399">
        <w:rPr>
          <w:rFonts w:ascii="Arial" w:hAnsi="Arial" w:cs="Arial"/>
          <w:sz w:val="22"/>
          <w:szCs w:val="22"/>
        </w:rPr>
        <w:t>O</w:t>
      </w:r>
      <w:r w:rsidR="00387AA3" w:rsidRPr="00244399">
        <w:rPr>
          <w:rFonts w:ascii="Arial" w:hAnsi="Arial" w:cs="Arial"/>
          <w:sz w:val="22"/>
          <w:szCs w:val="22"/>
        </w:rPr>
        <w:t xml:space="preserve">bčinskega podrobnega prostorskega načrta za trgovsko-industrijsko cono </w:t>
      </w:r>
      <w:r w:rsidR="00387AA3" w:rsidRPr="00D77C12">
        <w:rPr>
          <w:rFonts w:ascii="Arial" w:hAnsi="Arial" w:cs="Arial"/>
          <w:sz w:val="22"/>
          <w:szCs w:val="22"/>
        </w:rPr>
        <w:t xml:space="preserve">Trebnje </w:t>
      </w:r>
      <w:r w:rsidR="00D77C12" w:rsidRPr="00D77C12">
        <w:rPr>
          <w:rFonts w:ascii="Arial" w:hAnsi="Arial" w:cs="Arial"/>
          <w:sz w:val="22"/>
          <w:szCs w:val="22"/>
        </w:rPr>
        <w:t xml:space="preserve">– </w:t>
      </w:r>
      <w:r w:rsidR="00387AA3" w:rsidRPr="00D77C12">
        <w:rPr>
          <w:rFonts w:ascii="Arial" w:hAnsi="Arial" w:cs="Arial"/>
          <w:sz w:val="22"/>
          <w:szCs w:val="22"/>
        </w:rPr>
        <w:t>2. faza</w:t>
      </w:r>
      <w:r w:rsidR="00E93B11" w:rsidRPr="00244399">
        <w:rPr>
          <w:rFonts w:ascii="Arial" w:hAnsi="Arial" w:cs="Arial"/>
          <w:sz w:val="22"/>
          <w:szCs w:val="22"/>
        </w:rPr>
        <w:t xml:space="preserve"> ter pridobitev ID številke</w:t>
      </w:r>
      <w:r w:rsidRPr="00244399">
        <w:rPr>
          <w:rFonts w:ascii="Arial" w:hAnsi="Arial" w:cs="Arial"/>
          <w:sz w:val="22"/>
          <w:szCs w:val="22"/>
        </w:rPr>
        <w:t>;</w:t>
      </w:r>
    </w:p>
    <w:p w14:paraId="5B9343B2" w14:textId="77777777" w:rsidR="00E93B11" w:rsidRPr="00244399" w:rsidRDefault="00E93B11" w:rsidP="00387AA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- </w:t>
      </w:r>
      <w:r w:rsidRPr="00244399">
        <w:rPr>
          <w:rFonts w:ascii="Arial" w:hAnsi="Arial" w:cs="Arial"/>
          <w:sz w:val="22"/>
          <w:szCs w:val="22"/>
        </w:rPr>
        <w:tab/>
        <w:t>izdelava osnutka v pripravi;</w:t>
      </w:r>
    </w:p>
    <w:p w14:paraId="799C090B" w14:textId="01E48904" w:rsidR="00E93B11" w:rsidRPr="00244399" w:rsidRDefault="00E93B11" w:rsidP="00387AA3">
      <w:p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- </w:t>
      </w:r>
      <w:r w:rsidRPr="00244399">
        <w:rPr>
          <w:rFonts w:ascii="Arial" w:hAnsi="Arial" w:cs="Arial"/>
          <w:sz w:val="22"/>
          <w:szCs w:val="22"/>
        </w:rPr>
        <w:tab/>
        <w:t>vključitev javnosti v pripravo osnutka</w:t>
      </w:r>
      <w:r w:rsidR="00431F32" w:rsidRPr="00244399">
        <w:rPr>
          <w:rFonts w:ascii="Arial" w:hAnsi="Arial" w:cs="Arial"/>
          <w:sz w:val="22"/>
          <w:szCs w:val="22"/>
        </w:rPr>
        <w:t xml:space="preserve"> </w:t>
      </w:r>
      <w:r w:rsidR="00DA12EF" w:rsidRPr="00244399">
        <w:rPr>
          <w:rFonts w:ascii="Arial" w:hAnsi="Arial" w:cs="Arial"/>
          <w:sz w:val="22"/>
          <w:szCs w:val="22"/>
        </w:rPr>
        <w:t xml:space="preserve">ter </w:t>
      </w:r>
      <w:r w:rsidR="00AC1B96" w:rsidRPr="00244399">
        <w:rPr>
          <w:rFonts w:ascii="Arial" w:hAnsi="Arial" w:cs="Arial"/>
          <w:sz w:val="22"/>
          <w:szCs w:val="22"/>
        </w:rPr>
        <w:t xml:space="preserve">pridobitev </w:t>
      </w:r>
      <w:r w:rsidR="002F59D1" w:rsidRPr="00244399">
        <w:rPr>
          <w:rFonts w:ascii="Arial" w:hAnsi="Arial" w:cs="Arial"/>
          <w:sz w:val="22"/>
          <w:szCs w:val="22"/>
        </w:rPr>
        <w:t xml:space="preserve">podrobnejših usmeritev </w:t>
      </w:r>
      <w:r w:rsidR="00DA12EF" w:rsidRPr="00244399">
        <w:rPr>
          <w:rFonts w:ascii="Arial" w:hAnsi="Arial" w:cs="Arial"/>
          <w:sz w:val="22"/>
          <w:szCs w:val="22"/>
        </w:rPr>
        <w:t xml:space="preserve">nosilcev urejanja prostora </w:t>
      </w:r>
      <w:r w:rsidR="00431F32" w:rsidRPr="00244399">
        <w:rPr>
          <w:rFonts w:ascii="Arial" w:hAnsi="Arial" w:cs="Arial"/>
          <w:sz w:val="22"/>
          <w:szCs w:val="22"/>
        </w:rPr>
        <w:t>(30 dni</w:t>
      </w:r>
      <w:r w:rsidR="00131CC7" w:rsidRPr="00244399">
        <w:rPr>
          <w:rFonts w:ascii="Arial" w:hAnsi="Arial" w:cs="Arial"/>
          <w:sz w:val="22"/>
          <w:szCs w:val="22"/>
        </w:rPr>
        <w:t xml:space="preserve"> od objave</w:t>
      </w:r>
      <w:r w:rsidR="002F59D1" w:rsidRPr="00244399">
        <w:rPr>
          <w:rFonts w:ascii="Arial" w:hAnsi="Arial" w:cs="Arial"/>
          <w:sz w:val="22"/>
          <w:szCs w:val="22"/>
        </w:rPr>
        <w:t>);</w:t>
      </w:r>
    </w:p>
    <w:p w14:paraId="1B7560EE" w14:textId="397723BE" w:rsidR="00AC7604" w:rsidRPr="00244399" w:rsidRDefault="00AC7604" w:rsidP="00387AA3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izdelava osnutka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>;</w:t>
      </w:r>
    </w:p>
    <w:p w14:paraId="01145458" w14:textId="6A57E111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>pridobitev prvih mnenj nosilcev urejanja prostora (30 dni</w:t>
      </w:r>
      <w:r w:rsidR="009D0109" w:rsidRPr="00244399">
        <w:rPr>
          <w:rFonts w:ascii="Arial" w:hAnsi="Arial" w:cs="Arial"/>
          <w:sz w:val="22"/>
          <w:szCs w:val="22"/>
        </w:rPr>
        <w:t xml:space="preserve"> od objave</w:t>
      </w:r>
      <w:r w:rsidRPr="00244399">
        <w:rPr>
          <w:rFonts w:ascii="Arial" w:hAnsi="Arial" w:cs="Arial"/>
          <w:sz w:val="22"/>
          <w:szCs w:val="22"/>
        </w:rPr>
        <w:t>);</w:t>
      </w:r>
    </w:p>
    <w:p w14:paraId="03F46B32" w14:textId="3277EFA5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izdelava dopolnjenega osnutka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 xml:space="preserve"> za javno razgrnitev;</w:t>
      </w:r>
    </w:p>
    <w:p w14:paraId="52C10B9F" w14:textId="186C8964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>izvedba javne razgrnitve (30 dni) in javne obravnave</w:t>
      </w:r>
      <w:r w:rsidR="00C4195F" w:rsidRPr="00244399">
        <w:rPr>
          <w:rFonts w:ascii="Arial" w:hAnsi="Arial" w:cs="Arial"/>
          <w:sz w:val="22"/>
          <w:szCs w:val="22"/>
        </w:rPr>
        <w:t xml:space="preserve"> ter prve obravnave na občinskem svetu</w:t>
      </w:r>
      <w:r w:rsidRPr="00244399">
        <w:rPr>
          <w:rFonts w:ascii="Arial" w:hAnsi="Arial" w:cs="Arial"/>
          <w:sz w:val="22"/>
          <w:szCs w:val="22"/>
        </w:rPr>
        <w:t>;</w:t>
      </w:r>
    </w:p>
    <w:p w14:paraId="52E7A969" w14:textId="77777777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>priprava predloga stališč do pripomb in predlogov z javne razgrnitve in javne obravnave;</w:t>
      </w:r>
    </w:p>
    <w:p w14:paraId="1C5B0926" w14:textId="14DC7231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zavzetje stališč do pripomb in predlogov s strani </w:t>
      </w:r>
      <w:r w:rsidR="00DA07F4" w:rsidRPr="00244399">
        <w:rPr>
          <w:rFonts w:ascii="Arial" w:hAnsi="Arial" w:cs="Arial"/>
          <w:sz w:val="22"/>
          <w:szCs w:val="22"/>
        </w:rPr>
        <w:t>župan</w:t>
      </w:r>
      <w:r w:rsidR="00DA07F4">
        <w:rPr>
          <w:rFonts w:ascii="Arial" w:hAnsi="Arial" w:cs="Arial"/>
          <w:sz w:val="22"/>
          <w:szCs w:val="22"/>
        </w:rPr>
        <w:t>a</w:t>
      </w:r>
      <w:r w:rsidRPr="00244399">
        <w:rPr>
          <w:rFonts w:ascii="Arial" w:hAnsi="Arial" w:cs="Arial"/>
          <w:sz w:val="22"/>
          <w:szCs w:val="22"/>
        </w:rPr>
        <w:t>;</w:t>
      </w:r>
    </w:p>
    <w:p w14:paraId="6B7AAEC6" w14:textId="085D970A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izdelava predloga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="00A71055" w:rsidRPr="00244399">
        <w:rPr>
          <w:rFonts w:ascii="Arial" w:hAnsi="Arial" w:cs="Arial"/>
          <w:sz w:val="22"/>
          <w:szCs w:val="22"/>
        </w:rPr>
        <w:t>;</w:t>
      </w:r>
    </w:p>
    <w:p w14:paraId="5C8FD611" w14:textId="640B48FB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pridobitev </w:t>
      </w:r>
      <w:r w:rsidR="00B00E7D" w:rsidRPr="00244399">
        <w:rPr>
          <w:rFonts w:ascii="Arial" w:hAnsi="Arial" w:cs="Arial"/>
          <w:sz w:val="22"/>
          <w:szCs w:val="22"/>
        </w:rPr>
        <w:t xml:space="preserve">dopolnilnih </w:t>
      </w:r>
      <w:r w:rsidRPr="00244399">
        <w:rPr>
          <w:rFonts w:ascii="Arial" w:hAnsi="Arial" w:cs="Arial"/>
          <w:sz w:val="22"/>
          <w:szCs w:val="22"/>
        </w:rPr>
        <w:t>mnenj nosilcev urejanja prostora (30 dni</w:t>
      </w:r>
      <w:r w:rsidR="009D0109" w:rsidRPr="00244399">
        <w:rPr>
          <w:rFonts w:ascii="Arial" w:hAnsi="Arial" w:cs="Arial"/>
          <w:sz w:val="22"/>
          <w:szCs w:val="22"/>
        </w:rPr>
        <w:t xml:space="preserve"> od objave</w:t>
      </w:r>
      <w:r w:rsidRPr="00244399">
        <w:rPr>
          <w:rFonts w:ascii="Arial" w:hAnsi="Arial" w:cs="Arial"/>
          <w:sz w:val="22"/>
          <w:szCs w:val="22"/>
        </w:rPr>
        <w:t>);</w:t>
      </w:r>
    </w:p>
    <w:p w14:paraId="151438FF" w14:textId="3081993A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izdelava usklajenega predloga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>;</w:t>
      </w:r>
    </w:p>
    <w:p w14:paraId="43DB5AEA" w14:textId="1A4F7098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</w:r>
      <w:r w:rsidR="00C4195F" w:rsidRPr="00244399">
        <w:rPr>
          <w:rFonts w:ascii="Arial" w:hAnsi="Arial" w:cs="Arial"/>
          <w:sz w:val="22"/>
          <w:szCs w:val="22"/>
        </w:rPr>
        <w:t xml:space="preserve">druga </w:t>
      </w:r>
      <w:r w:rsidRPr="00244399">
        <w:rPr>
          <w:rFonts w:ascii="Arial" w:hAnsi="Arial" w:cs="Arial"/>
          <w:sz w:val="22"/>
          <w:szCs w:val="22"/>
        </w:rPr>
        <w:t xml:space="preserve">obravnava in sprejem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 xml:space="preserve"> na občinskem svetu;</w:t>
      </w:r>
    </w:p>
    <w:p w14:paraId="513B9966" w14:textId="507800D4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objava odloka o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 xml:space="preserve"> v uradnem glasilu;</w:t>
      </w:r>
    </w:p>
    <w:p w14:paraId="7678C873" w14:textId="5F2353D5" w:rsidR="00AC7604" w:rsidRPr="00244399" w:rsidRDefault="00AC7604" w:rsidP="00AC760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izdelava gradiva sprejetega </w:t>
      </w:r>
      <w:r w:rsidR="00B01DCB" w:rsidRPr="00244399">
        <w:rPr>
          <w:rFonts w:ascii="Arial" w:hAnsi="Arial" w:cs="Arial"/>
          <w:sz w:val="22"/>
          <w:szCs w:val="22"/>
        </w:rPr>
        <w:t>OPPN</w:t>
      </w:r>
      <w:r w:rsidRPr="00244399">
        <w:rPr>
          <w:rFonts w:ascii="Arial" w:hAnsi="Arial" w:cs="Arial"/>
          <w:sz w:val="22"/>
          <w:szCs w:val="22"/>
        </w:rPr>
        <w:t>;</w:t>
      </w:r>
    </w:p>
    <w:p w14:paraId="12AEE149" w14:textId="57BBCCB8" w:rsidR="00AC7604" w:rsidRPr="00244399" w:rsidRDefault="00AC7604" w:rsidP="00387AA3">
      <w:p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-</w:t>
      </w:r>
      <w:r w:rsidRPr="00244399">
        <w:rPr>
          <w:rFonts w:ascii="Arial" w:hAnsi="Arial" w:cs="Arial"/>
          <w:sz w:val="22"/>
          <w:szCs w:val="22"/>
        </w:rPr>
        <w:tab/>
        <w:t xml:space="preserve">arhiviranje gradiva in </w:t>
      </w:r>
      <w:r w:rsidR="00387AA3" w:rsidRPr="00244399">
        <w:rPr>
          <w:rFonts w:ascii="Arial" w:hAnsi="Arial" w:cs="Arial"/>
          <w:sz w:val="22"/>
          <w:szCs w:val="22"/>
        </w:rPr>
        <w:t>objava v prostorskem informacijskem sistemu</w:t>
      </w:r>
      <w:r w:rsidRPr="00244399">
        <w:rPr>
          <w:rFonts w:ascii="Arial" w:hAnsi="Arial" w:cs="Arial"/>
          <w:sz w:val="22"/>
          <w:szCs w:val="22"/>
        </w:rPr>
        <w:t>.</w:t>
      </w:r>
    </w:p>
    <w:bookmarkEnd w:id="2"/>
    <w:p w14:paraId="3AFE7E49" w14:textId="77777777" w:rsidR="008A57D1" w:rsidRPr="00244399" w:rsidRDefault="008A57D1" w:rsidP="00387AA3">
      <w:pPr>
        <w:spacing w:after="10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EEA453D" w14:textId="0DC99CD1" w:rsidR="00E90DC9" w:rsidRPr="00244399" w:rsidRDefault="00CB7040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lastRenderedPageBreak/>
        <w:t>7</w:t>
      </w:r>
      <w:r w:rsidR="00E90DC9" w:rsidRPr="00244399">
        <w:rPr>
          <w:rFonts w:ascii="Arial" w:hAnsi="Arial" w:cs="Arial"/>
          <w:b/>
          <w:bCs/>
          <w:sz w:val="22"/>
          <w:szCs w:val="22"/>
        </w:rPr>
        <w:t>. člen</w:t>
      </w:r>
    </w:p>
    <w:p w14:paraId="0C6F1BBE" w14:textId="77777777" w:rsidR="00E90DC9" w:rsidRPr="00244399" w:rsidRDefault="00E90DC9" w:rsidP="00E20A6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(nosilci urejanja prostora)</w:t>
      </w:r>
    </w:p>
    <w:p w14:paraId="02DCA54A" w14:textId="0DDB87C5" w:rsidR="00E90DC9" w:rsidRPr="00244399" w:rsidRDefault="00E90DC9" w:rsidP="00277D58">
      <w:pPr>
        <w:pStyle w:val="Telobesedila2"/>
        <w:ind w:firstLine="284"/>
        <w:jc w:val="both"/>
        <w:rPr>
          <w:rFonts w:cs="Arial"/>
          <w:b w:val="0"/>
          <w:color w:val="auto"/>
          <w:szCs w:val="22"/>
        </w:rPr>
      </w:pPr>
      <w:r w:rsidRPr="00244399">
        <w:rPr>
          <w:rFonts w:cs="Arial"/>
          <w:b w:val="0"/>
          <w:color w:val="auto"/>
          <w:szCs w:val="22"/>
        </w:rPr>
        <w:t xml:space="preserve">(1) </w:t>
      </w:r>
      <w:r w:rsidR="00102B2B" w:rsidRPr="00244399">
        <w:rPr>
          <w:rFonts w:cs="Arial"/>
          <w:b w:val="0"/>
          <w:color w:val="auto"/>
          <w:szCs w:val="22"/>
        </w:rPr>
        <w:t>Državni in lokalni n</w:t>
      </w:r>
      <w:r w:rsidRPr="00244399">
        <w:rPr>
          <w:rFonts w:cs="Arial"/>
          <w:b w:val="0"/>
          <w:color w:val="auto"/>
          <w:szCs w:val="22"/>
        </w:rPr>
        <w:t>osilci urejanja prostora, ki podajo mnenja k načrtovanim prostorskim ureditvam s svojega delovnega področja, so:</w:t>
      </w:r>
    </w:p>
    <w:p w14:paraId="68B26648" w14:textId="77AEAE1E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Ministrstvo za 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okolje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in prostor, Dunajska cesta 4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7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, 1000 Ljubljana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</w:t>
      </w:r>
      <w:r w:rsidR="00B80651"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področje ohranjanja narave in področje voda; </w:t>
      </w:r>
    </w:p>
    <w:p w14:paraId="1F0AD823" w14:textId="69FE0C39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Ministrstvo za 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okolje</w:t>
      </w:r>
      <w:r w:rsidR="006A0C5A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in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prostor, Direkcija RS za vode, Sektor območja Spodnje Save, Novi trg 9, 8000 Novo mesto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voda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; </w:t>
      </w:r>
    </w:p>
    <w:p w14:paraId="7E12737A" w14:textId="6E23807C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Ministrstvo za 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infrastrukturo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in energ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etiko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, Langusova ulica 4, 1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000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Ljubljana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 – področje energ</w:t>
      </w:r>
      <w:r w:rsidR="00B80651"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ije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 in p</w:t>
      </w:r>
      <w:r w:rsidR="00B80651"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rometne politike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;</w:t>
      </w:r>
    </w:p>
    <w:p w14:paraId="24E51B70" w14:textId="07420AC5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hyperlink r:id="rId5" w:history="1">
        <w:r w:rsidRPr="00244399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Ministrstvo za kmetijstvo</w:t>
        </w:r>
      </w:hyperlink>
      <w:r w:rsidRPr="00244399">
        <w:rPr>
          <w:rFonts w:ascii="Arial" w:hAnsi="Arial" w:cs="Arial"/>
          <w:sz w:val="22"/>
          <w:szCs w:val="22"/>
        </w:rPr>
        <w:t>, Dunajska cesta 2</w:t>
      </w:r>
      <w:r w:rsidR="00B80651" w:rsidRPr="00244399">
        <w:rPr>
          <w:rFonts w:ascii="Arial" w:hAnsi="Arial" w:cs="Arial"/>
          <w:sz w:val="22"/>
          <w:szCs w:val="22"/>
        </w:rPr>
        <w:t>2</w:t>
      </w:r>
      <w:r w:rsidRPr="00244399">
        <w:rPr>
          <w:rFonts w:ascii="Arial" w:hAnsi="Arial" w:cs="Arial"/>
          <w:sz w:val="22"/>
          <w:szCs w:val="22"/>
        </w:rPr>
        <w:t xml:space="preserve">, 1000 Ljubljana – </w:t>
      </w:r>
      <w:r w:rsidRPr="00244399">
        <w:rPr>
          <w:rFonts w:ascii="Arial" w:hAnsi="Arial" w:cs="Arial"/>
          <w:i/>
          <w:iCs/>
          <w:sz w:val="22"/>
          <w:szCs w:val="22"/>
        </w:rPr>
        <w:t>področje kmetijstva in področje gozdarstva;</w:t>
      </w:r>
    </w:p>
    <w:p w14:paraId="045A64F1" w14:textId="3330FEA0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Ministrstvo za infrastrukturo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in energetiko,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Tržaška cesta 19, 1000 Ljubljana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cest</w:t>
      </w:r>
      <w:r w:rsidR="00B80651"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 in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 železnic</w:t>
      </w:r>
      <w:r w:rsidR="00B80651"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 ter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 letalskega </w:t>
      </w:r>
      <w:r w:rsidR="00B80651"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in pomorskega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prometa;</w:t>
      </w:r>
    </w:p>
    <w:p w14:paraId="1ADF2F72" w14:textId="12B7C1C6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Ministrstvo za obrambo, Direktorat za logistiko, Sektor za gospodarjenje z nepremičninami, Vojkova cesta 59, 1000 Ljubljana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obrambe;</w:t>
      </w:r>
    </w:p>
    <w:p w14:paraId="7F2BDD3C" w14:textId="2E917271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Ministrstvo za obrambo, Uprava RS za zaščito in reševanje, Vojkova cesta 61, 1000 Ljubljana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varstva pred naravnimi nesrečami in varstva pred požarom;</w:t>
      </w:r>
    </w:p>
    <w:p w14:paraId="50D3492C" w14:textId="1CE024A8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Ministrstvo za zdravje, Štefanova ulica 5, 1000 Ljubljana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javnega zdravja;</w:t>
      </w:r>
    </w:p>
    <w:p w14:paraId="54AAF8EC" w14:textId="71ED9EBC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Ministrstvo za 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lokalno samoupravo, kohezijo in regionalni razvo</w:t>
      </w:r>
      <w:r w:rsidR="00275067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j</w:t>
      </w:r>
      <w:r w:rsidR="00B80651"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, Kotnikova ulica 5, 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1000 Ljubljana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– področje </w:t>
      </w:r>
      <w:r w:rsidR="00275067"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regionalnega razvoja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;</w:t>
      </w:r>
    </w:p>
    <w:p w14:paraId="3E1C4AB4" w14:textId="1B483EAB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Zavod RS za varstvo narave, Območna enota Novo mesto, Adamičeva ul. 2, 8000 Novo mesto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ohranjanja narave;</w:t>
      </w:r>
    </w:p>
    <w:p w14:paraId="5E6AB47B" w14:textId="3D98D387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Zavod za gozdove Slovenije, Območna enota Novo mesto, Gubčeva ulica 15, 8000 Novo mesto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 xml:space="preserve">– </w:t>
      </w:r>
      <w:r w:rsidRPr="00244399">
        <w:rPr>
          <w:rFonts w:ascii="Arial" w:hAnsi="Arial" w:cs="Arial"/>
          <w:i/>
          <w:iCs/>
          <w:sz w:val="22"/>
          <w:szCs w:val="22"/>
        </w:rPr>
        <w:t>področje gozdarstva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;</w:t>
      </w:r>
    </w:p>
    <w:p w14:paraId="3E9AAB66" w14:textId="625FC896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</w:rPr>
        <w:t xml:space="preserve">Občina Trebnje, </w:t>
      </w:r>
      <w:proofErr w:type="spellStart"/>
      <w:r w:rsidRPr="00244399">
        <w:rPr>
          <w:rFonts w:ascii="Arial" w:hAnsi="Arial" w:cs="Arial"/>
          <w:sz w:val="22"/>
          <w:szCs w:val="22"/>
        </w:rPr>
        <w:t>Goliev</w:t>
      </w:r>
      <w:proofErr w:type="spellEnd"/>
      <w:r w:rsidRPr="00244399">
        <w:rPr>
          <w:rFonts w:ascii="Arial" w:hAnsi="Arial" w:cs="Arial"/>
          <w:sz w:val="22"/>
          <w:szCs w:val="22"/>
        </w:rPr>
        <w:t xml:space="preserve"> trg 5, 8210 Trebnje</w:t>
      </w: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lokalnega cestnega prometa;</w:t>
      </w:r>
    </w:p>
    <w:p w14:paraId="4EAE444A" w14:textId="5AC6603A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Elektro Ljubljana, </w:t>
      </w:r>
      <w:proofErr w:type="spellStart"/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d.d</w:t>
      </w:r>
      <w:proofErr w:type="spellEnd"/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., Distribucijska enota Novo mesto, Ljubljanska cesta 7, 8000 Novo mesto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</w:t>
      </w:r>
      <w:r w:rsidRPr="0024439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področje energetike;</w:t>
      </w:r>
    </w:p>
    <w:p w14:paraId="0E7EBBBA" w14:textId="63204515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Telekom Slovenije, </w:t>
      </w:r>
      <w:proofErr w:type="spellStart"/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d.d</w:t>
      </w:r>
      <w:proofErr w:type="spellEnd"/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., Sektor za </w:t>
      </w:r>
      <w:proofErr w:type="spellStart"/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dostopovna</w:t>
      </w:r>
      <w:proofErr w:type="spellEnd"/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omrežja, TKO osrednja Slovenija, Podbevškova ulica 17, 8000 Novo mesto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elektronskih komunikacij;</w:t>
      </w:r>
    </w:p>
    <w:p w14:paraId="2EF4972D" w14:textId="68071676" w:rsidR="00102B2B" w:rsidRPr="00244399" w:rsidRDefault="00102B2B" w:rsidP="00102B2B">
      <w:pPr>
        <w:numPr>
          <w:ilvl w:val="0"/>
          <w:numId w:val="6"/>
        </w:numPr>
        <w:ind w:left="284" w:right="-6" w:hanging="284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GVO, d.o.o., Cigaletova 10, 1000 Ljubljana –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področje elektronskih komunikacij;</w:t>
      </w:r>
    </w:p>
    <w:p w14:paraId="1D5A2F60" w14:textId="57E1A22A" w:rsidR="00277D58" w:rsidRPr="00244399" w:rsidRDefault="00102B2B" w:rsidP="00102B2B">
      <w:pPr>
        <w:numPr>
          <w:ilvl w:val="0"/>
          <w:numId w:val="6"/>
        </w:numPr>
        <w:spacing w:after="100"/>
        <w:ind w:left="284" w:right="-6" w:hanging="284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244399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Komunala Trebnje d.o.o., Metelkova ulica 30, 8210 Trebnje </w:t>
      </w:r>
      <w:r w:rsidRPr="00244399">
        <w:rPr>
          <w:rFonts w:ascii="Arial" w:hAnsi="Arial" w:cs="Arial"/>
          <w:i/>
          <w:iCs/>
          <w:sz w:val="22"/>
          <w:szCs w:val="22"/>
          <w:shd w:val="clear" w:color="auto" w:fill="FFFFFF"/>
          <w:lang w:eastAsia="en-US"/>
        </w:rPr>
        <w:t>– področje komunale (vodovod, kanalizacija, odpadki).</w:t>
      </w:r>
    </w:p>
    <w:p w14:paraId="776A4BF9" w14:textId="0A36A573" w:rsidR="00E90DC9" w:rsidRDefault="00E90DC9" w:rsidP="00102B2B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 xml:space="preserve">(2) </w:t>
      </w:r>
      <w:bookmarkStart w:id="3" w:name="_Hlk222816604"/>
      <w:r w:rsidR="00102B2B" w:rsidRPr="00244399">
        <w:rPr>
          <w:rFonts w:ascii="Arial" w:hAnsi="Arial" w:cs="Arial"/>
          <w:sz w:val="22"/>
          <w:szCs w:val="22"/>
        </w:rPr>
        <w:t>V postopek priprave OPPN se lahko vključijo tudi drugi nosilci urejanja prostora, če se izkaže, da ureditve posegajo v njihovo delovno področje.</w:t>
      </w:r>
      <w:bookmarkEnd w:id="3"/>
    </w:p>
    <w:p w14:paraId="5DCE2F6B" w14:textId="362F4A1D" w:rsidR="000750FF" w:rsidRPr="00244399" w:rsidRDefault="000750FF" w:rsidP="00102B2B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Seznam nosilcev urejanja prostora se lahko spremeni, če gre za uskladitev z novo organizacijo Vlade RS. </w:t>
      </w:r>
    </w:p>
    <w:p w14:paraId="6D82D3AD" w14:textId="77777777" w:rsidR="00C104E7" w:rsidRPr="00244399" w:rsidRDefault="00C104E7" w:rsidP="00102B2B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43F188D7" w14:textId="12B42991" w:rsidR="00E90DC9" w:rsidRPr="00244399" w:rsidRDefault="00CB7040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8</w:t>
      </w:r>
      <w:r w:rsidR="00E90DC9" w:rsidRPr="00244399">
        <w:rPr>
          <w:rFonts w:ascii="Arial" w:hAnsi="Arial" w:cs="Arial"/>
          <w:b/>
          <w:bCs/>
          <w:sz w:val="22"/>
          <w:szCs w:val="22"/>
        </w:rPr>
        <w:t>. člen</w:t>
      </w:r>
    </w:p>
    <w:p w14:paraId="241B83D6" w14:textId="77777777" w:rsidR="00E90DC9" w:rsidRPr="00244399" w:rsidRDefault="00E90DC9" w:rsidP="00E20A66">
      <w:pPr>
        <w:pStyle w:val="Telobesedila-zamik"/>
        <w:spacing w:after="120"/>
        <w:jc w:val="center"/>
        <w:rPr>
          <w:rFonts w:cs="Arial"/>
          <w:b/>
          <w:bCs/>
          <w:color w:val="auto"/>
        </w:rPr>
      </w:pPr>
      <w:r w:rsidRPr="00244399">
        <w:rPr>
          <w:rFonts w:cs="Arial"/>
          <w:b/>
          <w:bCs/>
          <w:color w:val="auto"/>
        </w:rPr>
        <w:t>(način vključevanja javnosti)</w:t>
      </w:r>
    </w:p>
    <w:p w14:paraId="641D72D8" w14:textId="77777777" w:rsidR="00CB7040" w:rsidRPr="00244399" w:rsidRDefault="00E90DC9" w:rsidP="00CB7040">
      <w:pPr>
        <w:pStyle w:val="Telobesedila"/>
        <w:numPr>
          <w:ilvl w:val="0"/>
          <w:numId w:val="0"/>
        </w:numPr>
        <w:spacing w:after="100"/>
        <w:ind w:firstLine="284"/>
        <w:rPr>
          <w:rFonts w:cs="Arial"/>
          <w:color w:val="auto"/>
        </w:rPr>
      </w:pPr>
      <w:r w:rsidRPr="00244399">
        <w:rPr>
          <w:rFonts w:cs="Arial"/>
          <w:color w:val="auto"/>
        </w:rPr>
        <w:t xml:space="preserve">(1) Občina Trebnje </w:t>
      </w:r>
      <w:r w:rsidR="00CB7040" w:rsidRPr="00244399">
        <w:rPr>
          <w:rFonts w:cs="Arial"/>
          <w:color w:val="auto"/>
        </w:rPr>
        <w:t xml:space="preserve">seznani javnost s pričetkom postopka priprave OPPN z javno objavo v skladu s 6. in 11. členom tega sklepa. </w:t>
      </w:r>
    </w:p>
    <w:p w14:paraId="4432D624" w14:textId="35BA3F60" w:rsidR="00CB7040" w:rsidRPr="00244399" w:rsidRDefault="00CB7040" w:rsidP="00CB7040">
      <w:pPr>
        <w:pStyle w:val="Telobesedila"/>
        <w:numPr>
          <w:ilvl w:val="0"/>
          <w:numId w:val="0"/>
        </w:numPr>
        <w:spacing w:after="100"/>
        <w:ind w:firstLine="284"/>
        <w:rPr>
          <w:rFonts w:cs="Arial"/>
          <w:color w:val="auto"/>
        </w:rPr>
      </w:pPr>
      <w:r w:rsidRPr="00244399">
        <w:rPr>
          <w:rFonts w:cs="Arial"/>
          <w:color w:val="auto"/>
        </w:rPr>
        <w:t xml:space="preserve">(2) Občina Trebnje vključi javnost v pripravo osnutka OPPN z </w:t>
      </w:r>
      <w:r w:rsidR="00972C25" w:rsidRPr="00244399">
        <w:rPr>
          <w:rFonts w:cs="Arial"/>
          <w:color w:val="auto"/>
        </w:rPr>
        <w:t xml:space="preserve">javno </w:t>
      </w:r>
      <w:r w:rsidR="00403862" w:rsidRPr="00244399">
        <w:rPr>
          <w:rFonts w:cs="Arial"/>
          <w:color w:val="auto"/>
        </w:rPr>
        <w:t>objavo</w:t>
      </w:r>
      <w:r w:rsidRPr="00244399">
        <w:rPr>
          <w:rFonts w:cs="Arial"/>
          <w:color w:val="auto"/>
        </w:rPr>
        <w:t xml:space="preserve"> na </w:t>
      </w:r>
      <w:r w:rsidR="00244399" w:rsidRPr="00244399">
        <w:rPr>
          <w:rFonts w:cs="Arial"/>
          <w:color w:val="auto"/>
        </w:rPr>
        <w:t xml:space="preserve">svoji </w:t>
      </w:r>
      <w:r w:rsidRPr="00244399">
        <w:rPr>
          <w:rFonts w:cs="Arial"/>
          <w:color w:val="auto"/>
        </w:rPr>
        <w:t>spletni strani</w:t>
      </w:r>
      <w:r w:rsidR="00DD54B1" w:rsidRPr="00244399">
        <w:rPr>
          <w:rFonts w:cs="Arial"/>
          <w:color w:val="auto"/>
        </w:rPr>
        <w:t xml:space="preserve"> </w:t>
      </w:r>
      <w:r w:rsidR="00972C25" w:rsidRPr="00244399">
        <w:rPr>
          <w:rFonts w:cs="Arial"/>
          <w:color w:val="auto"/>
        </w:rPr>
        <w:t>(oz</w:t>
      </w:r>
      <w:r w:rsidR="00244399" w:rsidRPr="00244399">
        <w:rPr>
          <w:rFonts w:cs="Arial"/>
          <w:color w:val="auto"/>
        </w:rPr>
        <w:t>iroma</w:t>
      </w:r>
      <w:r w:rsidR="00972C25" w:rsidRPr="00244399">
        <w:rPr>
          <w:rFonts w:cs="Arial"/>
          <w:color w:val="auto"/>
        </w:rPr>
        <w:t xml:space="preserve"> v kolikor bo v vmesnem času vzpostavljen sistem PIS, tudi z objavo v PIS)</w:t>
      </w:r>
      <w:r w:rsidRPr="00244399">
        <w:rPr>
          <w:rFonts w:cs="Arial"/>
          <w:color w:val="auto"/>
        </w:rPr>
        <w:t xml:space="preserve">. </w:t>
      </w:r>
    </w:p>
    <w:p w14:paraId="180FF783" w14:textId="412535C2" w:rsidR="00CB7040" w:rsidRPr="00244399" w:rsidRDefault="00CB7040" w:rsidP="00CB7040">
      <w:pPr>
        <w:pStyle w:val="Telobesedila"/>
        <w:numPr>
          <w:ilvl w:val="0"/>
          <w:numId w:val="0"/>
        </w:numPr>
        <w:spacing w:after="100"/>
        <w:ind w:firstLine="284"/>
        <w:rPr>
          <w:rFonts w:cs="Arial"/>
          <w:color w:val="auto"/>
        </w:rPr>
      </w:pPr>
      <w:r w:rsidRPr="00244399">
        <w:rPr>
          <w:rFonts w:cs="Arial"/>
          <w:color w:val="auto"/>
        </w:rPr>
        <w:t xml:space="preserve">(3) Občina Trebnje ponovno vključi javnost v fazi dopolnjenega osnutka OPPN, ko pripravi javno razgrnitev dopolnjenega osnutka OPPN za 30 dni, gradivo objavi na </w:t>
      </w:r>
      <w:r w:rsidR="00244399" w:rsidRPr="00244399">
        <w:rPr>
          <w:rFonts w:cs="Arial"/>
          <w:color w:val="auto"/>
        </w:rPr>
        <w:t xml:space="preserve">svoji </w:t>
      </w:r>
      <w:r w:rsidRPr="00244399">
        <w:rPr>
          <w:rFonts w:cs="Arial"/>
          <w:color w:val="auto"/>
        </w:rPr>
        <w:t xml:space="preserve">spletni strani </w:t>
      </w:r>
      <w:r w:rsidR="00972C25" w:rsidRPr="00244399">
        <w:rPr>
          <w:rFonts w:cs="Arial"/>
          <w:color w:val="auto"/>
        </w:rPr>
        <w:t>(oz</w:t>
      </w:r>
      <w:r w:rsidR="00244399" w:rsidRPr="00244399">
        <w:rPr>
          <w:rFonts w:cs="Arial"/>
          <w:color w:val="auto"/>
        </w:rPr>
        <w:t>iroma</w:t>
      </w:r>
      <w:r w:rsidR="00972C25" w:rsidRPr="00244399">
        <w:rPr>
          <w:rFonts w:cs="Arial"/>
          <w:color w:val="auto"/>
        </w:rPr>
        <w:t xml:space="preserve"> v kolikor bo v vmesnem času vzpostavljen sistem PIS, tudi z objavo v PIS)</w:t>
      </w:r>
      <w:r w:rsidRPr="00244399">
        <w:rPr>
          <w:rFonts w:cs="Arial"/>
          <w:color w:val="auto"/>
        </w:rPr>
        <w:t xml:space="preserve">, izvede javno obravnavo ter javnost pozove, da poda pripombe in predloge. </w:t>
      </w:r>
    </w:p>
    <w:p w14:paraId="0571E46D" w14:textId="026D3A34" w:rsidR="00CB7040" w:rsidRPr="00244399" w:rsidRDefault="00CB7040" w:rsidP="00CB7040">
      <w:pPr>
        <w:pStyle w:val="Telobesedila"/>
        <w:numPr>
          <w:ilvl w:val="0"/>
          <w:numId w:val="0"/>
        </w:numPr>
        <w:spacing w:after="100"/>
        <w:ind w:firstLine="284"/>
        <w:rPr>
          <w:rFonts w:cs="Arial"/>
          <w:color w:val="auto"/>
        </w:rPr>
      </w:pPr>
      <w:r w:rsidRPr="00244399">
        <w:rPr>
          <w:rFonts w:cs="Arial"/>
          <w:color w:val="auto"/>
        </w:rPr>
        <w:t>(4) Občina Trebnje prejete pripombe in predloge javnosti preuči in do njih zavzame stališča, ki jih javno objavi na svoji spletni strani</w:t>
      </w:r>
      <w:r w:rsidR="00972C25" w:rsidRPr="00244399">
        <w:rPr>
          <w:rFonts w:cs="Arial"/>
          <w:color w:val="auto"/>
        </w:rPr>
        <w:t xml:space="preserve"> (oz</w:t>
      </w:r>
      <w:r w:rsidR="00244399" w:rsidRPr="00244399">
        <w:rPr>
          <w:rFonts w:cs="Arial"/>
          <w:color w:val="auto"/>
        </w:rPr>
        <w:t>iroma</w:t>
      </w:r>
      <w:r w:rsidR="00972C25" w:rsidRPr="00244399">
        <w:rPr>
          <w:rFonts w:cs="Arial"/>
          <w:color w:val="auto"/>
        </w:rPr>
        <w:t xml:space="preserve"> v kolikor bo v vmesnem času vzpostavljen sistem PIS, tudi z objavo v PIS)</w:t>
      </w:r>
      <w:r w:rsidRPr="00244399">
        <w:rPr>
          <w:rFonts w:cs="Arial"/>
          <w:color w:val="auto"/>
        </w:rPr>
        <w:t xml:space="preserve">. </w:t>
      </w:r>
    </w:p>
    <w:p w14:paraId="219011B2" w14:textId="3F34535C" w:rsidR="00E90DC9" w:rsidRPr="00244399" w:rsidRDefault="00CB7040" w:rsidP="00CB7040">
      <w:pPr>
        <w:pStyle w:val="Telobesedila"/>
        <w:numPr>
          <w:ilvl w:val="0"/>
          <w:numId w:val="0"/>
        </w:numPr>
        <w:spacing w:after="100"/>
        <w:ind w:firstLine="284"/>
        <w:rPr>
          <w:rFonts w:cs="Arial"/>
          <w:color w:val="auto"/>
        </w:rPr>
      </w:pPr>
      <w:r w:rsidRPr="00244399">
        <w:rPr>
          <w:rFonts w:cs="Arial"/>
          <w:color w:val="auto"/>
        </w:rPr>
        <w:lastRenderedPageBreak/>
        <w:t>(5) Občinski svet Občin</w:t>
      </w:r>
      <w:r w:rsidR="00CF2F6E" w:rsidRPr="00244399">
        <w:rPr>
          <w:rFonts w:cs="Arial"/>
          <w:color w:val="auto"/>
        </w:rPr>
        <w:t>e</w:t>
      </w:r>
      <w:r w:rsidRPr="00244399">
        <w:rPr>
          <w:rFonts w:cs="Arial"/>
          <w:color w:val="auto"/>
        </w:rPr>
        <w:t xml:space="preserve"> Trebnje sprejme OPPN z odlokom, ki se po sprejetju objavi v </w:t>
      </w:r>
      <w:r w:rsidR="00295710">
        <w:rPr>
          <w:rFonts w:cs="Arial"/>
          <w:color w:val="auto"/>
        </w:rPr>
        <w:t xml:space="preserve">uradnem glasilu </w:t>
      </w:r>
      <w:r w:rsidR="0012555B">
        <w:rPr>
          <w:rFonts w:cs="Arial"/>
          <w:color w:val="auto"/>
        </w:rPr>
        <w:t>O</w:t>
      </w:r>
      <w:r w:rsidR="00295710">
        <w:rPr>
          <w:rFonts w:cs="Arial"/>
          <w:color w:val="auto"/>
        </w:rPr>
        <w:t>bčine</w:t>
      </w:r>
      <w:r w:rsidR="0012555B">
        <w:rPr>
          <w:rFonts w:cs="Arial"/>
          <w:color w:val="auto"/>
        </w:rPr>
        <w:t xml:space="preserve"> Trebnje</w:t>
      </w:r>
      <w:r w:rsidRPr="00244399">
        <w:rPr>
          <w:rFonts w:cs="Arial"/>
          <w:color w:val="auto"/>
        </w:rPr>
        <w:t xml:space="preserve">, v prostorskem informacijskem sistemu in na spletni strani </w:t>
      </w:r>
      <w:r w:rsidR="00171726" w:rsidRPr="00244399">
        <w:rPr>
          <w:rFonts w:cs="Arial"/>
          <w:color w:val="auto"/>
        </w:rPr>
        <w:t>O</w:t>
      </w:r>
      <w:r w:rsidRPr="00244399">
        <w:rPr>
          <w:rFonts w:cs="Arial"/>
          <w:color w:val="auto"/>
        </w:rPr>
        <w:t>bčine</w:t>
      </w:r>
      <w:r w:rsidR="00171726" w:rsidRPr="00244399">
        <w:rPr>
          <w:rFonts w:cs="Arial"/>
          <w:color w:val="auto"/>
        </w:rPr>
        <w:t xml:space="preserve"> Trebnje</w:t>
      </w:r>
      <w:r w:rsidRPr="00244399">
        <w:rPr>
          <w:rFonts w:cs="Arial"/>
          <w:color w:val="auto"/>
        </w:rPr>
        <w:t>.</w:t>
      </w:r>
    </w:p>
    <w:p w14:paraId="5CF221B5" w14:textId="77777777" w:rsidR="00CB7040" w:rsidRPr="00244399" w:rsidRDefault="00CB7040" w:rsidP="00CB7040">
      <w:pPr>
        <w:pStyle w:val="Telobesedila"/>
        <w:numPr>
          <w:ilvl w:val="0"/>
          <w:numId w:val="0"/>
        </w:numPr>
        <w:ind w:firstLine="284"/>
        <w:rPr>
          <w:rFonts w:cs="Arial"/>
          <w:b/>
          <w:bCs/>
          <w:color w:val="auto"/>
        </w:rPr>
      </w:pPr>
    </w:p>
    <w:p w14:paraId="0F4F7907" w14:textId="77777777" w:rsidR="0015373A" w:rsidRPr="00244399" w:rsidRDefault="0015373A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 xml:space="preserve">9. člen </w:t>
      </w:r>
    </w:p>
    <w:p w14:paraId="397BDD09" w14:textId="69697F8F" w:rsidR="0015373A" w:rsidRPr="00244399" w:rsidRDefault="0015373A" w:rsidP="00CC7C5B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 xml:space="preserve">(obveznosti v zvezi s financiranjem priprave OPPN) </w:t>
      </w:r>
    </w:p>
    <w:p w14:paraId="1E0FAD0F" w14:textId="60E3E600" w:rsidR="0015373A" w:rsidRPr="00244399" w:rsidRDefault="0015373A" w:rsidP="0015373A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Pripravo OPPN financira</w:t>
      </w:r>
      <w:r w:rsidR="00CB7040" w:rsidRPr="00244399">
        <w:rPr>
          <w:rFonts w:ascii="Arial" w:hAnsi="Arial" w:cs="Arial"/>
          <w:sz w:val="22"/>
          <w:szCs w:val="22"/>
        </w:rPr>
        <w:t>jo</w:t>
      </w:r>
      <w:r w:rsidRPr="00244399">
        <w:rPr>
          <w:rFonts w:ascii="Arial" w:hAnsi="Arial" w:cs="Arial"/>
          <w:sz w:val="22"/>
          <w:szCs w:val="22"/>
        </w:rPr>
        <w:t xml:space="preserve"> pobudnik</w:t>
      </w:r>
      <w:r w:rsidR="00CB7040" w:rsidRPr="00244399">
        <w:rPr>
          <w:rFonts w:ascii="Arial" w:hAnsi="Arial" w:cs="Arial"/>
          <w:sz w:val="22"/>
          <w:szCs w:val="22"/>
        </w:rPr>
        <w:t>i</w:t>
      </w:r>
      <w:r w:rsidRPr="00244399">
        <w:rPr>
          <w:rFonts w:ascii="Arial" w:hAnsi="Arial" w:cs="Arial"/>
          <w:sz w:val="22"/>
          <w:szCs w:val="22"/>
        </w:rPr>
        <w:t xml:space="preserve"> priprave OPPN, ki za namen izdelave OPPN sklene</w:t>
      </w:r>
      <w:r w:rsidR="007E3090" w:rsidRPr="00244399">
        <w:rPr>
          <w:rFonts w:ascii="Arial" w:hAnsi="Arial" w:cs="Arial"/>
          <w:sz w:val="22"/>
          <w:szCs w:val="22"/>
        </w:rPr>
        <w:t>jo</w:t>
      </w:r>
      <w:r w:rsidRPr="00244399">
        <w:rPr>
          <w:rFonts w:ascii="Arial" w:hAnsi="Arial" w:cs="Arial"/>
          <w:sz w:val="22"/>
          <w:szCs w:val="22"/>
        </w:rPr>
        <w:t xml:space="preserve"> pogodbo z izvajalcem. Izvajalec mora izpolnjevati pogoje glede izdelave prostorskega akta v skladu z ZureP-3. </w:t>
      </w:r>
    </w:p>
    <w:p w14:paraId="7F6C1EDD" w14:textId="77777777" w:rsidR="0015373A" w:rsidRPr="00244399" w:rsidRDefault="0015373A" w:rsidP="0015373A">
      <w:pPr>
        <w:spacing w:after="100"/>
        <w:jc w:val="both"/>
        <w:rPr>
          <w:rFonts w:ascii="Arial" w:hAnsi="Arial" w:cs="Arial"/>
          <w:sz w:val="22"/>
          <w:szCs w:val="22"/>
        </w:rPr>
      </w:pPr>
    </w:p>
    <w:p w14:paraId="1B79D3A6" w14:textId="56F18D70" w:rsidR="00F73C80" w:rsidRPr="00244399" w:rsidRDefault="00CB7040" w:rsidP="0015373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10</w:t>
      </w:r>
      <w:r w:rsidR="00F73C80" w:rsidRPr="00244399">
        <w:rPr>
          <w:rFonts w:ascii="Arial" w:hAnsi="Arial" w:cs="Arial"/>
          <w:b/>
          <w:bCs/>
          <w:sz w:val="22"/>
          <w:szCs w:val="22"/>
        </w:rPr>
        <w:t>. člen</w:t>
      </w:r>
    </w:p>
    <w:p w14:paraId="2BB939F5" w14:textId="1055E414" w:rsidR="00F73C80" w:rsidRPr="00244399" w:rsidRDefault="00F73C80" w:rsidP="0015373A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(izvedba celovite presoje vplivov na okolje)</w:t>
      </w:r>
    </w:p>
    <w:p w14:paraId="38C49F00" w14:textId="11ED4FD1" w:rsidR="00E90DC9" w:rsidRPr="00244399" w:rsidRDefault="00F73C80" w:rsidP="00F73C80">
      <w:pPr>
        <w:spacing w:after="100"/>
        <w:ind w:firstLine="284"/>
        <w:jc w:val="both"/>
        <w:rPr>
          <w:rFonts w:ascii="Arial" w:hAnsi="Arial" w:cs="Arial"/>
          <w:sz w:val="22"/>
          <w:szCs w:val="22"/>
          <w:highlight w:val="yellow"/>
        </w:rPr>
      </w:pPr>
      <w:r w:rsidRPr="00244399">
        <w:rPr>
          <w:rFonts w:ascii="Arial" w:hAnsi="Arial" w:cs="Arial"/>
          <w:sz w:val="22"/>
          <w:szCs w:val="22"/>
        </w:rPr>
        <w:t>V postopku priprave OPPN</w:t>
      </w:r>
      <w:r w:rsidR="00620462" w:rsidRPr="00244399">
        <w:rPr>
          <w:rFonts w:ascii="Arial" w:hAnsi="Arial" w:cs="Arial"/>
          <w:sz w:val="22"/>
          <w:szCs w:val="22"/>
        </w:rPr>
        <w:t>,</w:t>
      </w:r>
      <w:r w:rsidRPr="00244399">
        <w:rPr>
          <w:rFonts w:ascii="Arial" w:hAnsi="Arial" w:cs="Arial"/>
          <w:sz w:val="22"/>
          <w:szCs w:val="22"/>
        </w:rPr>
        <w:t xml:space="preserve"> na podlagi mnenja Zavoda </w:t>
      </w:r>
      <w:r w:rsidR="001175DC" w:rsidRPr="00244399">
        <w:rPr>
          <w:rFonts w:ascii="Arial" w:hAnsi="Arial" w:cs="Arial"/>
          <w:sz w:val="22"/>
          <w:szCs w:val="22"/>
        </w:rPr>
        <w:t>Republike Slovenije</w:t>
      </w:r>
      <w:r w:rsidRPr="00244399">
        <w:rPr>
          <w:rFonts w:ascii="Arial" w:hAnsi="Arial" w:cs="Arial"/>
          <w:sz w:val="22"/>
          <w:szCs w:val="22"/>
        </w:rPr>
        <w:t xml:space="preserve"> za varstvo narave št. </w:t>
      </w:r>
      <w:r w:rsidR="00060E27" w:rsidRPr="00244399">
        <w:rPr>
          <w:rFonts w:ascii="Arial" w:hAnsi="Arial" w:cs="Arial"/>
          <w:sz w:val="22"/>
          <w:szCs w:val="22"/>
        </w:rPr>
        <w:t>3563-0154/2026-2 z dne 25. 3. 2026</w:t>
      </w:r>
      <w:r w:rsidR="00620462" w:rsidRPr="00244399">
        <w:rPr>
          <w:rFonts w:ascii="Arial" w:hAnsi="Arial" w:cs="Arial"/>
          <w:sz w:val="22"/>
          <w:szCs w:val="22"/>
        </w:rPr>
        <w:t xml:space="preserve">, ni </w:t>
      </w:r>
      <w:r w:rsidRPr="00244399">
        <w:rPr>
          <w:rFonts w:ascii="Arial" w:hAnsi="Arial" w:cs="Arial"/>
          <w:sz w:val="22"/>
          <w:szCs w:val="22"/>
        </w:rPr>
        <w:t>treb</w:t>
      </w:r>
      <w:r w:rsidR="00620462" w:rsidRPr="00244399">
        <w:rPr>
          <w:rFonts w:ascii="Arial" w:hAnsi="Arial" w:cs="Arial"/>
          <w:sz w:val="22"/>
          <w:szCs w:val="22"/>
        </w:rPr>
        <w:t>a</w:t>
      </w:r>
      <w:r w:rsidRPr="00244399">
        <w:rPr>
          <w:rFonts w:ascii="Arial" w:hAnsi="Arial" w:cs="Arial"/>
          <w:sz w:val="22"/>
          <w:szCs w:val="22"/>
        </w:rPr>
        <w:t xml:space="preserve"> izvesti </w:t>
      </w:r>
      <w:r w:rsidR="00620462" w:rsidRPr="00244399">
        <w:rPr>
          <w:rFonts w:ascii="Arial" w:hAnsi="Arial" w:cs="Arial"/>
          <w:sz w:val="22"/>
          <w:szCs w:val="22"/>
        </w:rPr>
        <w:t>presoje sprejemljivosti vplivov izvedbe plana v naravo na varovana območja</w:t>
      </w:r>
      <w:r w:rsidRPr="00244399">
        <w:rPr>
          <w:rFonts w:ascii="Arial" w:hAnsi="Arial" w:cs="Arial"/>
          <w:sz w:val="22"/>
          <w:szCs w:val="22"/>
        </w:rPr>
        <w:t>. Mnenje je sestavni del tega sklepa (Priloga 1).</w:t>
      </w:r>
    </w:p>
    <w:p w14:paraId="0F6A3277" w14:textId="77777777" w:rsidR="00F73C80" w:rsidRPr="00244399" w:rsidRDefault="00F73C80" w:rsidP="00E90DC9">
      <w:pPr>
        <w:jc w:val="center"/>
        <w:rPr>
          <w:rFonts w:ascii="Arial" w:hAnsi="Arial" w:cs="Arial"/>
          <w:sz w:val="22"/>
          <w:szCs w:val="22"/>
        </w:rPr>
      </w:pPr>
    </w:p>
    <w:p w14:paraId="6A1498A4" w14:textId="513C3FD8" w:rsidR="00E90DC9" w:rsidRPr="00244399" w:rsidRDefault="00E90DC9" w:rsidP="00E90D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11. člen</w:t>
      </w:r>
    </w:p>
    <w:p w14:paraId="3330BD05" w14:textId="18CD6F3A" w:rsidR="00E90DC9" w:rsidRPr="00244399" w:rsidRDefault="00E90DC9" w:rsidP="00E20A6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44399">
        <w:rPr>
          <w:rFonts w:ascii="Arial" w:hAnsi="Arial" w:cs="Arial"/>
          <w:b/>
          <w:bCs/>
          <w:sz w:val="22"/>
          <w:szCs w:val="22"/>
        </w:rPr>
        <w:t>(</w:t>
      </w:r>
      <w:r w:rsidR="00F73C80" w:rsidRPr="00244399">
        <w:rPr>
          <w:rFonts w:ascii="Arial" w:hAnsi="Arial" w:cs="Arial"/>
          <w:b/>
          <w:bCs/>
          <w:sz w:val="22"/>
          <w:szCs w:val="22"/>
        </w:rPr>
        <w:t>objava in uveljavitev</w:t>
      </w:r>
      <w:r w:rsidRPr="00244399">
        <w:rPr>
          <w:rFonts w:ascii="Arial" w:hAnsi="Arial" w:cs="Arial"/>
          <w:b/>
          <w:bCs/>
          <w:sz w:val="22"/>
          <w:szCs w:val="22"/>
        </w:rPr>
        <w:t>)</w:t>
      </w:r>
    </w:p>
    <w:p w14:paraId="6FD042CD" w14:textId="6DB34EDF" w:rsidR="00E90DC9" w:rsidRPr="00244399" w:rsidRDefault="00E90DC9" w:rsidP="00395FF2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Sklep se</w:t>
      </w:r>
      <w:r w:rsidR="007D4248" w:rsidRPr="00244399">
        <w:rPr>
          <w:rFonts w:ascii="Arial" w:hAnsi="Arial" w:cs="Arial"/>
          <w:sz w:val="22"/>
          <w:szCs w:val="22"/>
        </w:rPr>
        <w:t xml:space="preserve"> skupaj z mnenjem Zavoda</w:t>
      </w:r>
      <w:r w:rsidR="001E19C1" w:rsidRPr="00244399">
        <w:rPr>
          <w:rFonts w:ascii="Arial" w:hAnsi="Arial" w:cs="Arial"/>
          <w:sz w:val="22"/>
          <w:szCs w:val="22"/>
        </w:rPr>
        <w:t xml:space="preserve"> </w:t>
      </w:r>
      <w:r w:rsidR="001175DC" w:rsidRPr="00244399">
        <w:rPr>
          <w:rFonts w:ascii="Arial" w:hAnsi="Arial" w:cs="Arial"/>
          <w:sz w:val="22"/>
          <w:szCs w:val="22"/>
        </w:rPr>
        <w:t>Republike Slovenije</w:t>
      </w:r>
      <w:r w:rsidR="007D4248" w:rsidRPr="00244399">
        <w:rPr>
          <w:rFonts w:ascii="Arial" w:hAnsi="Arial" w:cs="Arial"/>
          <w:sz w:val="22"/>
          <w:szCs w:val="22"/>
        </w:rPr>
        <w:t xml:space="preserve"> za varstvo narave</w:t>
      </w:r>
      <w:r w:rsidR="00D31E0D" w:rsidRPr="00244399">
        <w:rPr>
          <w:rFonts w:ascii="Arial" w:hAnsi="Arial" w:cs="Arial"/>
          <w:sz w:val="22"/>
          <w:szCs w:val="22"/>
        </w:rPr>
        <w:t xml:space="preserve"> </w:t>
      </w:r>
      <w:r w:rsidRPr="00244399">
        <w:rPr>
          <w:rFonts w:ascii="Arial" w:hAnsi="Arial" w:cs="Arial"/>
          <w:sz w:val="22"/>
          <w:szCs w:val="22"/>
        </w:rPr>
        <w:t>objavi v prostorsk</w:t>
      </w:r>
      <w:r w:rsidR="007D4248" w:rsidRPr="00244399">
        <w:rPr>
          <w:rFonts w:ascii="Arial" w:hAnsi="Arial" w:cs="Arial"/>
          <w:sz w:val="22"/>
          <w:szCs w:val="22"/>
        </w:rPr>
        <w:t>em</w:t>
      </w:r>
      <w:r w:rsidRPr="00244399">
        <w:rPr>
          <w:rFonts w:ascii="Arial" w:hAnsi="Arial" w:cs="Arial"/>
          <w:sz w:val="22"/>
          <w:szCs w:val="22"/>
        </w:rPr>
        <w:t xml:space="preserve"> informacijskem sistemu </w:t>
      </w:r>
      <w:r w:rsidR="00D31E0D" w:rsidRPr="00244399">
        <w:rPr>
          <w:rFonts w:ascii="Arial" w:hAnsi="Arial" w:cs="Arial"/>
          <w:sz w:val="22"/>
          <w:szCs w:val="22"/>
        </w:rPr>
        <w:t>in</w:t>
      </w:r>
      <w:r w:rsidRPr="00244399">
        <w:rPr>
          <w:rFonts w:ascii="Arial" w:hAnsi="Arial" w:cs="Arial"/>
          <w:sz w:val="22"/>
          <w:szCs w:val="22"/>
        </w:rPr>
        <w:t xml:space="preserve"> na spletni strani Občine Trebnje</w:t>
      </w:r>
      <w:r w:rsidR="00D31E0D" w:rsidRPr="00244399">
        <w:rPr>
          <w:rFonts w:ascii="Arial" w:hAnsi="Arial" w:cs="Arial"/>
          <w:sz w:val="22"/>
          <w:szCs w:val="22"/>
        </w:rPr>
        <w:t xml:space="preserve"> ter</w:t>
      </w:r>
      <w:r w:rsidR="009C08B2" w:rsidRPr="00244399">
        <w:rPr>
          <w:rFonts w:ascii="Arial" w:hAnsi="Arial" w:cs="Arial"/>
          <w:sz w:val="22"/>
          <w:szCs w:val="22"/>
        </w:rPr>
        <w:t xml:space="preserve"> začne veljati naslednji dan po </w:t>
      </w:r>
      <w:r w:rsidR="000750FF">
        <w:rPr>
          <w:rFonts w:ascii="Arial" w:hAnsi="Arial" w:cs="Arial"/>
          <w:sz w:val="22"/>
          <w:szCs w:val="22"/>
        </w:rPr>
        <w:t xml:space="preserve">objavi na spletni strani </w:t>
      </w:r>
      <w:r w:rsidR="000750FF" w:rsidRPr="00244399">
        <w:rPr>
          <w:rFonts w:ascii="Arial" w:hAnsi="Arial" w:cs="Arial"/>
          <w:sz w:val="22"/>
          <w:szCs w:val="22"/>
        </w:rPr>
        <w:t>Občine Trebnje</w:t>
      </w:r>
      <w:r w:rsidR="009C08B2" w:rsidRPr="00244399">
        <w:rPr>
          <w:rFonts w:ascii="Arial" w:hAnsi="Arial" w:cs="Arial"/>
          <w:sz w:val="22"/>
          <w:szCs w:val="22"/>
        </w:rPr>
        <w:t>.</w:t>
      </w:r>
    </w:p>
    <w:p w14:paraId="7825F453" w14:textId="77777777" w:rsidR="00B66C93" w:rsidRPr="00244399" w:rsidRDefault="00B66C93" w:rsidP="00395FF2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</w:p>
    <w:p w14:paraId="716136D8" w14:textId="77777777" w:rsidR="0075543F" w:rsidRPr="00244399" w:rsidRDefault="0075543F" w:rsidP="00395FF2">
      <w:pPr>
        <w:spacing w:after="100"/>
        <w:ind w:firstLine="284"/>
        <w:jc w:val="both"/>
        <w:rPr>
          <w:rFonts w:ascii="Arial" w:hAnsi="Arial" w:cs="Arial"/>
          <w:sz w:val="22"/>
          <w:szCs w:val="22"/>
        </w:rPr>
      </w:pPr>
    </w:p>
    <w:p w14:paraId="75396666" w14:textId="2BD20DE8" w:rsidR="003E17D8" w:rsidRPr="00CC7C5B" w:rsidRDefault="003E17D8" w:rsidP="00E90DC9">
      <w:pPr>
        <w:jc w:val="both"/>
        <w:rPr>
          <w:rFonts w:ascii="Arial" w:hAnsi="Arial" w:cs="Arial"/>
          <w:sz w:val="22"/>
          <w:szCs w:val="22"/>
        </w:rPr>
      </w:pPr>
      <w:r w:rsidRPr="00244399">
        <w:rPr>
          <w:rFonts w:ascii="Arial" w:hAnsi="Arial" w:cs="Arial"/>
          <w:sz w:val="22"/>
          <w:szCs w:val="22"/>
        </w:rPr>
        <w:t>Št</w:t>
      </w:r>
      <w:r w:rsidR="004E7038" w:rsidRPr="00244399">
        <w:rPr>
          <w:rFonts w:ascii="Arial" w:hAnsi="Arial" w:cs="Arial"/>
          <w:sz w:val="22"/>
          <w:szCs w:val="22"/>
        </w:rPr>
        <w:t>evilka</w:t>
      </w:r>
      <w:r w:rsidRPr="00244399">
        <w:rPr>
          <w:rFonts w:ascii="Arial" w:hAnsi="Arial" w:cs="Arial"/>
          <w:sz w:val="22"/>
          <w:szCs w:val="22"/>
        </w:rPr>
        <w:t xml:space="preserve">: </w:t>
      </w:r>
      <w:r w:rsidR="00CC7C5B">
        <w:rPr>
          <w:rFonts w:ascii="Arial" w:hAnsi="Arial" w:cs="Arial"/>
          <w:sz w:val="22"/>
          <w:szCs w:val="22"/>
        </w:rPr>
        <w:t>350-</w:t>
      </w:r>
      <w:r w:rsidR="00CC7C5B" w:rsidRPr="00CC7C5B">
        <w:rPr>
          <w:rFonts w:ascii="Arial" w:hAnsi="Arial" w:cs="Arial"/>
          <w:sz w:val="22"/>
          <w:szCs w:val="22"/>
        </w:rPr>
        <w:t>0276/2025</w:t>
      </w:r>
      <w:r w:rsidR="00CB0561">
        <w:rPr>
          <w:rFonts w:ascii="Arial" w:hAnsi="Arial" w:cs="Arial"/>
          <w:sz w:val="22"/>
          <w:szCs w:val="22"/>
        </w:rPr>
        <w:t>-29</w:t>
      </w:r>
    </w:p>
    <w:p w14:paraId="2A6E0098" w14:textId="00BB7BAD" w:rsidR="00E90DC9" w:rsidRPr="00CC7C5B" w:rsidRDefault="00E90DC9" w:rsidP="00E90DC9">
      <w:pPr>
        <w:jc w:val="both"/>
        <w:rPr>
          <w:rFonts w:ascii="Arial" w:hAnsi="Arial" w:cs="Arial"/>
          <w:sz w:val="22"/>
          <w:szCs w:val="22"/>
        </w:rPr>
      </w:pPr>
      <w:r w:rsidRPr="00CC7C5B">
        <w:rPr>
          <w:rFonts w:ascii="Arial" w:hAnsi="Arial" w:cs="Arial"/>
          <w:sz w:val="22"/>
          <w:szCs w:val="22"/>
        </w:rPr>
        <w:t>Trebnje,</w:t>
      </w:r>
      <w:r w:rsidR="003E17D8" w:rsidRPr="00CC7C5B">
        <w:rPr>
          <w:rFonts w:ascii="Arial" w:hAnsi="Arial" w:cs="Arial"/>
          <w:sz w:val="22"/>
          <w:szCs w:val="22"/>
        </w:rPr>
        <w:t xml:space="preserve"> </w:t>
      </w:r>
      <w:r w:rsidR="004E7038" w:rsidRPr="00CC7C5B">
        <w:rPr>
          <w:rFonts w:ascii="Arial" w:hAnsi="Arial" w:cs="Arial"/>
          <w:sz w:val="22"/>
          <w:szCs w:val="22"/>
        </w:rPr>
        <w:t xml:space="preserve">dne </w:t>
      </w:r>
      <w:r w:rsidR="00CC7C5B" w:rsidRPr="00CC7C5B">
        <w:rPr>
          <w:rFonts w:ascii="Arial" w:hAnsi="Arial" w:cs="Arial"/>
          <w:sz w:val="22"/>
          <w:szCs w:val="22"/>
        </w:rPr>
        <w:t xml:space="preserve">13. 7. </w:t>
      </w:r>
      <w:r w:rsidR="0075543F" w:rsidRPr="00CC7C5B">
        <w:rPr>
          <w:rFonts w:ascii="Arial" w:hAnsi="Arial" w:cs="Arial"/>
          <w:sz w:val="22"/>
          <w:szCs w:val="22"/>
        </w:rPr>
        <w:t>202</w:t>
      </w:r>
      <w:r w:rsidR="00C74D23" w:rsidRPr="00CC7C5B">
        <w:rPr>
          <w:rFonts w:ascii="Arial" w:hAnsi="Arial" w:cs="Arial"/>
          <w:sz w:val="22"/>
          <w:szCs w:val="22"/>
        </w:rPr>
        <w:t>6</w:t>
      </w:r>
    </w:p>
    <w:p w14:paraId="4B064767" w14:textId="77777777" w:rsidR="00EF2539" w:rsidRPr="00CC7C5B" w:rsidRDefault="00EF2539" w:rsidP="00E90DC9">
      <w:pPr>
        <w:jc w:val="both"/>
        <w:rPr>
          <w:rFonts w:ascii="Arial" w:hAnsi="Arial" w:cs="Arial"/>
          <w:sz w:val="22"/>
          <w:szCs w:val="22"/>
        </w:rPr>
      </w:pPr>
    </w:p>
    <w:p w14:paraId="1EDA89FB" w14:textId="3E7C639A" w:rsidR="00EF2539" w:rsidRPr="00244399" w:rsidRDefault="00774CE7" w:rsidP="00E90DC9">
      <w:pPr>
        <w:jc w:val="both"/>
        <w:rPr>
          <w:rFonts w:ascii="Arial" w:hAnsi="Arial" w:cs="Arial"/>
          <w:sz w:val="22"/>
          <w:szCs w:val="22"/>
        </w:rPr>
      </w:pPr>
      <w:r w:rsidRPr="00CC7C5B">
        <w:rPr>
          <w:rFonts w:ascii="Arial" w:hAnsi="Arial" w:cs="Arial"/>
          <w:sz w:val="22"/>
          <w:szCs w:val="22"/>
        </w:rPr>
        <w:t xml:space="preserve">Identifikacijska številka prostorskega akta v zbirki prostorskih aktov: </w:t>
      </w:r>
      <w:r w:rsidR="00DB73DC">
        <w:rPr>
          <w:rFonts w:ascii="Arial" w:hAnsi="Arial" w:cs="Arial"/>
          <w:sz w:val="22"/>
          <w:szCs w:val="22"/>
        </w:rPr>
        <w:t>7641</w:t>
      </w:r>
    </w:p>
    <w:p w14:paraId="59199059" w14:textId="77777777" w:rsidR="00E90DC9" w:rsidRDefault="00E90DC9" w:rsidP="00E90DC9">
      <w:pPr>
        <w:jc w:val="both"/>
        <w:rPr>
          <w:rFonts w:ascii="Arial" w:hAnsi="Arial" w:cs="Arial"/>
          <w:sz w:val="22"/>
          <w:szCs w:val="22"/>
        </w:rPr>
      </w:pPr>
    </w:p>
    <w:p w14:paraId="0E86FD63" w14:textId="77777777" w:rsidR="00CC7C5B" w:rsidRDefault="00CC7C5B" w:rsidP="00E90DC9">
      <w:pPr>
        <w:jc w:val="both"/>
        <w:rPr>
          <w:rFonts w:ascii="Arial" w:hAnsi="Arial" w:cs="Arial"/>
          <w:sz w:val="22"/>
          <w:szCs w:val="22"/>
        </w:rPr>
      </w:pPr>
    </w:p>
    <w:p w14:paraId="60D50CB8" w14:textId="77777777" w:rsidR="00CC7C5B" w:rsidRPr="00244399" w:rsidRDefault="00CC7C5B" w:rsidP="00E90DC9">
      <w:pPr>
        <w:jc w:val="both"/>
        <w:rPr>
          <w:rFonts w:ascii="Arial" w:hAnsi="Arial" w:cs="Arial"/>
          <w:sz w:val="22"/>
          <w:szCs w:val="22"/>
        </w:rPr>
      </w:pPr>
    </w:p>
    <w:p w14:paraId="78B65698" w14:textId="6BC70C68" w:rsidR="00B66C93" w:rsidRPr="00244399" w:rsidRDefault="007007AD" w:rsidP="00E20A66">
      <w:pPr>
        <w:pStyle w:val="Telobesedila"/>
        <w:numPr>
          <w:ilvl w:val="0"/>
          <w:numId w:val="0"/>
        </w:numPr>
        <w:ind w:left="4956" w:firstLine="708"/>
        <w:jc w:val="center"/>
        <w:rPr>
          <w:rFonts w:cs="Arial"/>
          <w:color w:val="auto"/>
        </w:rPr>
      </w:pPr>
      <w:r w:rsidRPr="00244399">
        <w:rPr>
          <w:rFonts w:cs="Arial"/>
          <w:color w:val="auto"/>
        </w:rPr>
        <w:t xml:space="preserve">   </w:t>
      </w:r>
      <w:r w:rsidR="003E17D8" w:rsidRPr="00244399">
        <w:rPr>
          <w:rFonts w:cs="Arial"/>
          <w:color w:val="auto"/>
        </w:rPr>
        <w:t>Županja</w:t>
      </w:r>
    </w:p>
    <w:p w14:paraId="44C38AF6" w14:textId="70C6B93F" w:rsidR="00E90DC9" w:rsidRPr="00244399" w:rsidRDefault="007007AD" w:rsidP="00E20A66">
      <w:pPr>
        <w:pStyle w:val="Telobesedila"/>
        <w:numPr>
          <w:ilvl w:val="0"/>
          <w:numId w:val="0"/>
        </w:numPr>
        <w:ind w:left="4956" w:firstLine="708"/>
        <w:jc w:val="center"/>
        <w:rPr>
          <w:rFonts w:cs="Arial"/>
          <w:color w:val="auto"/>
        </w:rPr>
      </w:pPr>
      <w:r w:rsidRPr="00244399">
        <w:rPr>
          <w:rFonts w:cs="Arial"/>
          <w:color w:val="auto"/>
        </w:rPr>
        <w:t xml:space="preserve">    </w:t>
      </w:r>
      <w:r w:rsidR="00E90DC9" w:rsidRPr="00244399">
        <w:rPr>
          <w:rFonts w:cs="Arial"/>
          <w:color w:val="auto"/>
        </w:rPr>
        <w:t>Občin</w:t>
      </w:r>
      <w:r w:rsidR="003E17D8" w:rsidRPr="00244399">
        <w:rPr>
          <w:rFonts w:cs="Arial"/>
          <w:color w:val="auto"/>
        </w:rPr>
        <w:t>e</w:t>
      </w:r>
      <w:r w:rsidR="00E90DC9" w:rsidRPr="00244399">
        <w:rPr>
          <w:rFonts w:cs="Arial"/>
          <w:color w:val="auto"/>
        </w:rPr>
        <w:t xml:space="preserve"> Trebnje</w:t>
      </w:r>
    </w:p>
    <w:p w14:paraId="77FDEF52" w14:textId="294D27F2" w:rsidR="00F14925" w:rsidRPr="00244399" w:rsidRDefault="00E90DC9" w:rsidP="00E20A66">
      <w:pPr>
        <w:pStyle w:val="Telobesedila"/>
        <w:numPr>
          <w:ilvl w:val="0"/>
          <w:numId w:val="0"/>
        </w:numPr>
        <w:ind w:left="5975"/>
        <w:jc w:val="center"/>
        <w:rPr>
          <w:rFonts w:cs="Arial"/>
          <w:color w:val="auto"/>
        </w:rPr>
      </w:pPr>
      <w:r w:rsidRPr="00244399">
        <w:rPr>
          <w:rFonts w:cs="Arial"/>
          <w:color w:val="auto"/>
        </w:rPr>
        <w:t>Mateja Povhe</w:t>
      </w:r>
      <w:r w:rsidR="007F2098">
        <w:rPr>
          <w:rFonts w:cs="Arial"/>
          <w:color w:val="auto"/>
        </w:rPr>
        <w:t xml:space="preserve">, </w:t>
      </w:r>
      <w:proofErr w:type="spellStart"/>
      <w:r w:rsidR="007F2098">
        <w:rPr>
          <w:rFonts w:cs="Arial"/>
          <w:color w:val="auto"/>
        </w:rPr>
        <w:t>l.r</w:t>
      </w:r>
      <w:proofErr w:type="spellEnd"/>
      <w:r w:rsidR="007F2098">
        <w:rPr>
          <w:rFonts w:cs="Arial"/>
          <w:color w:val="auto"/>
        </w:rPr>
        <w:t>.</w:t>
      </w:r>
    </w:p>
    <w:p w14:paraId="5B44E555" w14:textId="77777777" w:rsidR="004E7038" w:rsidRPr="00244399" w:rsidRDefault="004E7038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24CE3A80" w14:textId="77777777" w:rsidR="002F3B9F" w:rsidRPr="00244399" w:rsidRDefault="002F3B9F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203D94B9" w14:textId="77777777" w:rsidR="002F3B9F" w:rsidRDefault="002F3B9F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538B0326" w14:textId="77777777" w:rsidR="00CC7C5B" w:rsidRDefault="00CC7C5B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28701F26" w14:textId="77777777" w:rsidR="00CC7C5B" w:rsidRDefault="00CC7C5B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573BFAF6" w14:textId="77777777" w:rsidR="00CC7C5B" w:rsidRDefault="00CC7C5B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293C84D3" w14:textId="77777777" w:rsidR="00CC7C5B" w:rsidRDefault="00CC7C5B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73852CD3" w14:textId="77777777" w:rsidR="00CC7C5B" w:rsidRPr="00244399" w:rsidRDefault="00CC7C5B" w:rsidP="001315F8">
      <w:pPr>
        <w:pStyle w:val="Telobesedila"/>
        <w:numPr>
          <w:ilvl w:val="0"/>
          <w:numId w:val="0"/>
        </w:numPr>
        <w:rPr>
          <w:rFonts w:cs="Arial"/>
          <w:color w:val="auto"/>
        </w:rPr>
      </w:pPr>
    </w:p>
    <w:p w14:paraId="12CC892A" w14:textId="225A8985" w:rsidR="004E7038" w:rsidRPr="00244399" w:rsidRDefault="001315F8" w:rsidP="001315F8">
      <w:pPr>
        <w:pStyle w:val="Telobesedila"/>
        <w:numPr>
          <w:ilvl w:val="0"/>
          <w:numId w:val="0"/>
        </w:numPr>
        <w:rPr>
          <w:rFonts w:cs="Arial"/>
          <w:b/>
          <w:bCs/>
          <w:color w:val="auto"/>
        </w:rPr>
      </w:pPr>
      <w:r w:rsidRPr="00244399">
        <w:rPr>
          <w:rFonts w:cs="Arial"/>
          <w:b/>
          <w:bCs/>
          <w:color w:val="auto"/>
        </w:rPr>
        <w:t xml:space="preserve">Priloga 1: Mnenje Zavoda RS za varstvo narave, št. </w:t>
      </w:r>
      <w:r w:rsidR="005C64AB">
        <w:rPr>
          <w:rFonts w:cs="Arial"/>
          <w:b/>
          <w:bCs/>
          <w:color w:val="auto"/>
        </w:rPr>
        <w:t>35</w:t>
      </w:r>
      <w:r w:rsidR="00D31E0D" w:rsidRPr="00244399">
        <w:rPr>
          <w:rFonts w:cs="Arial"/>
          <w:b/>
          <w:bCs/>
          <w:color w:val="auto"/>
        </w:rPr>
        <w:t>63-0154/2026-2 z dne 25. 3. 2026</w:t>
      </w:r>
    </w:p>
    <w:sectPr w:rsidR="004E7038" w:rsidRPr="00244399" w:rsidSect="007F0F61"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E43"/>
    <w:multiLevelType w:val="hybridMultilevel"/>
    <w:tmpl w:val="C352A606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432238"/>
    <w:multiLevelType w:val="hybridMultilevel"/>
    <w:tmpl w:val="5860CB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4100"/>
    <w:multiLevelType w:val="hybridMultilevel"/>
    <w:tmpl w:val="8D1AB6D2"/>
    <w:lvl w:ilvl="0" w:tplc="52D6447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5D2519"/>
    <w:multiLevelType w:val="hybridMultilevel"/>
    <w:tmpl w:val="DF08D3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C804">
      <w:start w:val="1"/>
      <w:numFmt w:val="decimal"/>
      <w:pStyle w:val="Telobesedila"/>
      <w:lvlText w:val="(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053B1"/>
    <w:multiLevelType w:val="hybridMultilevel"/>
    <w:tmpl w:val="E12E3E84"/>
    <w:lvl w:ilvl="0" w:tplc="643234A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DD3542"/>
    <w:multiLevelType w:val="hybridMultilevel"/>
    <w:tmpl w:val="DD12BC50"/>
    <w:lvl w:ilvl="0" w:tplc="10BA0CEA">
      <w:start w:val="1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CC5F1B"/>
    <w:multiLevelType w:val="hybridMultilevel"/>
    <w:tmpl w:val="F4F05E5C"/>
    <w:lvl w:ilvl="0" w:tplc="662C1F44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C455547"/>
    <w:multiLevelType w:val="multilevel"/>
    <w:tmpl w:val="7AA0B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57" w:hanging="390"/>
      </w:pPr>
      <w:rPr>
        <w:rFonts w:ascii="Arial" w:eastAsia="Times New Roman" w:hAnsi="Arial" w:cs="Arial"/>
        <w:i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 w:val="0"/>
      </w:rPr>
    </w:lvl>
  </w:abstractNum>
  <w:abstractNum w:abstractNumId="8" w15:restartNumberingAfterBreak="0">
    <w:nsid w:val="6DFB06AF"/>
    <w:multiLevelType w:val="hybridMultilevel"/>
    <w:tmpl w:val="D1509EFA"/>
    <w:lvl w:ilvl="0" w:tplc="556CA1AC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22840FD"/>
    <w:multiLevelType w:val="hybridMultilevel"/>
    <w:tmpl w:val="CF1012C2"/>
    <w:lvl w:ilvl="0" w:tplc="6D5251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A0121D"/>
    <w:multiLevelType w:val="hybridMultilevel"/>
    <w:tmpl w:val="08EEE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1B9F"/>
    <w:multiLevelType w:val="hybridMultilevel"/>
    <w:tmpl w:val="B2EA585C"/>
    <w:lvl w:ilvl="0" w:tplc="643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97516">
    <w:abstractNumId w:val="3"/>
  </w:num>
  <w:num w:numId="2" w16cid:durableId="1374765269">
    <w:abstractNumId w:val="10"/>
  </w:num>
  <w:num w:numId="3" w16cid:durableId="499545689">
    <w:abstractNumId w:val="0"/>
  </w:num>
  <w:num w:numId="4" w16cid:durableId="1513640020">
    <w:abstractNumId w:val="5"/>
  </w:num>
  <w:num w:numId="5" w16cid:durableId="306328319">
    <w:abstractNumId w:val="4"/>
  </w:num>
  <w:num w:numId="6" w16cid:durableId="1839345048">
    <w:abstractNumId w:val="11"/>
  </w:num>
  <w:num w:numId="7" w16cid:durableId="1058482603">
    <w:abstractNumId w:val="1"/>
  </w:num>
  <w:num w:numId="8" w16cid:durableId="740180410">
    <w:abstractNumId w:val="9"/>
  </w:num>
  <w:num w:numId="9" w16cid:durableId="1888951200">
    <w:abstractNumId w:val="7"/>
  </w:num>
  <w:num w:numId="10" w16cid:durableId="1947224980">
    <w:abstractNumId w:val="6"/>
  </w:num>
  <w:num w:numId="11" w16cid:durableId="870995494">
    <w:abstractNumId w:val="2"/>
  </w:num>
  <w:num w:numId="12" w16cid:durableId="679548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C9"/>
    <w:rsid w:val="000143CF"/>
    <w:rsid w:val="00017A76"/>
    <w:rsid w:val="000229DA"/>
    <w:rsid w:val="00060E27"/>
    <w:rsid w:val="000750FF"/>
    <w:rsid w:val="000868EA"/>
    <w:rsid w:val="00096189"/>
    <w:rsid w:val="000B5B03"/>
    <w:rsid w:val="000B7D37"/>
    <w:rsid w:val="000C1942"/>
    <w:rsid w:val="000E51BA"/>
    <w:rsid w:val="00102B2B"/>
    <w:rsid w:val="001175DC"/>
    <w:rsid w:val="0012555B"/>
    <w:rsid w:val="001315F8"/>
    <w:rsid w:val="00131CC7"/>
    <w:rsid w:val="00133098"/>
    <w:rsid w:val="001373A3"/>
    <w:rsid w:val="001458B4"/>
    <w:rsid w:val="0015373A"/>
    <w:rsid w:val="001678BA"/>
    <w:rsid w:val="00171726"/>
    <w:rsid w:val="001C3B00"/>
    <w:rsid w:val="001D0BF1"/>
    <w:rsid w:val="001E19C1"/>
    <w:rsid w:val="001F3F6A"/>
    <w:rsid w:val="002114F4"/>
    <w:rsid w:val="00227D40"/>
    <w:rsid w:val="00244399"/>
    <w:rsid w:val="002517F4"/>
    <w:rsid w:val="00275067"/>
    <w:rsid w:val="002778CE"/>
    <w:rsid w:val="00277D58"/>
    <w:rsid w:val="00295710"/>
    <w:rsid w:val="00297A5B"/>
    <w:rsid w:val="002B5339"/>
    <w:rsid w:val="002B56FC"/>
    <w:rsid w:val="002C4DDC"/>
    <w:rsid w:val="002E05CE"/>
    <w:rsid w:val="002F3B9F"/>
    <w:rsid w:val="002F59D1"/>
    <w:rsid w:val="00321BBF"/>
    <w:rsid w:val="00327B9D"/>
    <w:rsid w:val="00362BED"/>
    <w:rsid w:val="003766AC"/>
    <w:rsid w:val="00387AA3"/>
    <w:rsid w:val="00395FF2"/>
    <w:rsid w:val="003B3F3D"/>
    <w:rsid w:val="003C003C"/>
    <w:rsid w:val="003E097C"/>
    <w:rsid w:val="003E17D8"/>
    <w:rsid w:val="003F0A99"/>
    <w:rsid w:val="00403862"/>
    <w:rsid w:val="00431F32"/>
    <w:rsid w:val="00461A52"/>
    <w:rsid w:val="00474F99"/>
    <w:rsid w:val="004916FA"/>
    <w:rsid w:val="004A252F"/>
    <w:rsid w:val="004D385C"/>
    <w:rsid w:val="004E1DAE"/>
    <w:rsid w:val="004E7038"/>
    <w:rsid w:val="004F5473"/>
    <w:rsid w:val="005110A1"/>
    <w:rsid w:val="00517686"/>
    <w:rsid w:val="00524290"/>
    <w:rsid w:val="00524609"/>
    <w:rsid w:val="00531D5C"/>
    <w:rsid w:val="0053579A"/>
    <w:rsid w:val="00567A99"/>
    <w:rsid w:val="005C487E"/>
    <w:rsid w:val="005C64AB"/>
    <w:rsid w:val="005F17AC"/>
    <w:rsid w:val="00610EC9"/>
    <w:rsid w:val="00620462"/>
    <w:rsid w:val="00622EB1"/>
    <w:rsid w:val="0065165F"/>
    <w:rsid w:val="006750F9"/>
    <w:rsid w:val="00676806"/>
    <w:rsid w:val="00695CB4"/>
    <w:rsid w:val="006A0C5A"/>
    <w:rsid w:val="006A42B8"/>
    <w:rsid w:val="006B2FB8"/>
    <w:rsid w:val="006D729A"/>
    <w:rsid w:val="006E37FF"/>
    <w:rsid w:val="007007AD"/>
    <w:rsid w:val="00715449"/>
    <w:rsid w:val="007203D3"/>
    <w:rsid w:val="00723635"/>
    <w:rsid w:val="00745F40"/>
    <w:rsid w:val="00754752"/>
    <w:rsid w:val="0075543F"/>
    <w:rsid w:val="00771092"/>
    <w:rsid w:val="00774CE7"/>
    <w:rsid w:val="00793F84"/>
    <w:rsid w:val="007A0B4C"/>
    <w:rsid w:val="007D3F33"/>
    <w:rsid w:val="007D4248"/>
    <w:rsid w:val="007E3090"/>
    <w:rsid w:val="007F0961"/>
    <w:rsid w:val="007F0F61"/>
    <w:rsid w:val="007F13E1"/>
    <w:rsid w:val="007F2098"/>
    <w:rsid w:val="00800E61"/>
    <w:rsid w:val="0082182B"/>
    <w:rsid w:val="008278B4"/>
    <w:rsid w:val="0084023A"/>
    <w:rsid w:val="008409F7"/>
    <w:rsid w:val="008636F6"/>
    <w:rsid w:val="008A57D1"/>
    <w:rsid w:val="008D33FB"/>
    <w:rsid w:val="008F5D58"/>
    <w:rsid w:val="009121CD"/>
    <w:rsid w:val="00942000"/>
    <w:rsid w:val="00955C12"/>
    <w:rsid w:val="009619CD"/>
    <w:rsid w:val="00972AA5"/>
    <w:rsid w:val="00972C25"/>
    <w:rsid w:val="00973DF8"/>
    <w:rsid w:val="0098604B"/>
    <w:rsid w:val="009A17C1"/>
    <w:rsid w:val="009C08B2"/>
    <w:rsid w:val="009C5359"/>
    <w:rsid w:val="009D0109"/>
    <w:rsid w:val="009F2D14"/>
    <w:rsid w:val="00A50693"/>
    <w:rsid w:val="00A50D37"/>
    <w:rsid w:val="00A64056"/>
    <w:rsid w:val="00A71055"/>
    <w:rsid w:val="00A85791"/>
    <w:rsid w:val="00A85C08"/>
    <w:rsid w:val="00AA28E1"/>
    <w:rsid w:val="00AA2C6B"/>
    <w:rsid w:val="00AC1B96"/>
    <w:rsid w:val="00AC7604"/>
    <w:rsid w:val="00AF37FB"/>
    <w:rsid w:val="00B00AA2"/>
    <w:rsid w:val="00B00E7D"/>
    <w:rsid w:val="00B01DCB"/>
    <w:rsid w:val="00B3384E"/>
    <w:rsid w:val="00B55B9D"/>
    <w:rsid w:val="00B66C93"/>
    <w:rsid w:val="00B80651"/>
    <w:rsid w:val="00B926BC"/>
    <w:rsid w:val="00BA477E"/>
    <w:rsid w:val="00BC156D"/>
    <w:rsid w:val="00BD3DB5"/>
    <w:rsid w:val="00BE25B0"/>
    <w:rsid w:val="00BF6363"/>
    <w:rsid w:val="00C104E7"/>
    <w:rsid w:val="00C13AD4"/>
    <w:rsid w:val="00C22692"/>
    <w:rsid w:val="00C4195F"/>
    <w:rsid w:val="00C74D23"/>
    <w:rsid w:val="00CB0561"/>
    <w:rsid w:val="00CB7040"/>
    <w:rsid w:val="00CC7C5B"/>
    <w:rsid w:val="00CD126B"/>
    <w:rsid w:val="00CF2F6E"/>
    <w:rsid w:val="00CF6FC5"/>
    <w:rsid w:val="00D15641"/>
    <w:rsid w:val="00D15B0B"/>
    <w:rsid w:val="00D16239"/>
    <w:rsid w:val="00D17340"/>
    <w:rsid w:val="00D31E0D"/>
    <w:rsid w:val="00D370DD"/>
    <w:rsid w:val="00D43561"/>
    <w:rsid w:val="00D43E4A"/>
    <w:rsid w:val="00D4555A"/>
    <w:rsid w:val="00D527C7"/>
    <w:rsid w:val="00D54A62"/>
    <w:rsid w:val="00D560A6"/>
    <w:rsid w:val="00D602D8"/>
    <w:rsid w:val="00D701B0"/>
    <w:rsid w:val="00D77C12"/>
    <w:rsid w:val="00DA07F4"/>
    <w:rsid w:val="00DA12EF"/>
    <w:rsid w:val="00DB73DC"/>
    <w:rsid w:val="00DD0804"/>
    <w:rsid w:val="00DD2AC2"/>
    <w:rsid w:val="00DD54B1"/>
    <w:rsid w:val="00E11EB7"/>
    <w:rsid w:val="00E16859"/>
    <w:rsid w:val="00E20A66"/>
    <w:rsid w:val="00E3400B"/>
    <w:rsid w:val="00E362E3"/>
    <w:rsid w:val="00E64C91"/>
    <w:rsid w:val="00E66C90"/>
    <w:rsid w:val="00E90DC9"/>
    <w:rsid w:val="00E93B11"/>
    <w:rsid w:val="00ED3410"/>
    <w:rsid w:val="00ED748F"/>
    <w:rsid w:val="00EE40DC"/>
    <w:rsid w:val="00EE77DF"/>
    <w:rsid w:val="00EF2539"/>
    <w:rsid w:val="00EF282B"/>
    <w:rsid w:val="00F14925"/>
    <w:rsid w:val="00F53DD0"/>
    <w:rsid w:val="00F73C80"/>
    <w:rsid w:val="00F95C4A"/>
    <w:rsid w:val="00F97CFF"/>
    <w:rsid w:val="00FD2E80"/>
    <w:rsid w:val="00FD38AC"/>
    <w:rsid w:val="00FD767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72B5"/>
  <w15:chartTrackingRefBased/>
  <w15:docId w15:val="{879D3FD6-246F-4C78-8B9D-3DDDB031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0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90DC9"/>
    <w:pPr>
      <w:widowControl w:val="0"/>
      <w:numPr>
        <w:ilvl w:val="1"/>
        <w:numId w:val="1"/>
      </w:numPr>
      <w:autoSpaceDE w:val="0"/>
      <w:autoSpaceDN w:val="0"/>
      <w:jc w:val="both"/>
    </w:pPr>
    <w:rPr>
      <w:rFonts w:ascii="Arial" w:hAnsi="Arial"/>
      <w:color w:val="000000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E90DC9"/>
    <w:rPr>
      <w:rFonts w:ascii="Arial" w:eastAsia="Times New Roman" w:hAnsi="Arial" w:cs="Times New Roman"/>
      <w:color w:val="000000"/>
      <w:kern w:val="0"/>
      <w:lang w:eastAsia="sl-SI"/>
      <w14:ligatures w14:val="none"/>
    </w:rPr>
  </w:style>
  <w:style w:type="paragraph" w:styleId="Telobesedila-zamik">
    <w:name w:val="Body Text Indent"/>
    <w:basedOn w:val="Navaden"/>
    <w:link w:val="Telobesedila-zamikZnak"/>
    <w:rsid w:val="00E90DC9"/>
    <w:pPr>
      <w:widowControl w:val="0"/>
      <w:autoSpaceDE w:val="0"/>
      <w:autoSpaceDN w:val="0"/>
    </w:pPr>
    <w:rPr>
      <w:rFonts w:ascii="Arial" w:hAnsi="Arial"/>
      <w:color w:val="000000"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E90DC9"/>
    <w:rPr>
      <w:rFonts w:ascii="Arial" w:eastAsia="Times New Roman" w:hAnsi="Arial" w:cs="Times New Roman"/>
      <w:color w:val="000000"/>
      <w:kern w:val="0"/>
      <w:lang w:eastAsia="sl-SI"/>
      <w14:ligatures w14:val="none"/>
    </w:rPr>
  </w:style>
  <w:style w:type="paragraph" w:styleId="Telobesedila2">
    <w:name w:val="Body Text 2"/>
    <w:basedOn w:val="Navaden"/>
    <w:link w:val="Telobesedila2Znak"/>
    <w:rsid w:val="00E90DC9"/>
    <w:rPr>
      <w:rFonts w:ascii="Arial" w:hAnsi="Arial"/>
      <w:b/>
      <w:color w:val="FF0000"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E90DC9"/>
    <w:rPr>
      <w:rFonts w:ascii="Arial" w:eastAsia="Times New Roman" w:hAnsi="Arial" w:cs="Times New Roman"/>
      <w:b/>
      <w:color w:val="FF0000"/>
      <w:kern w:val="0"/>
      <w:szCs w:val="24"/>
      <w:lang w:eastAsia="sl-SI"/>
      <w14:ligatures w14:val="none"/>
    </w:rPr>
  </w:style>
  <w:style w:type="character" w:styleId="Hiperpovezava">
    <w:name w:val="Hyperlink"/>
    <w:uiPriority w:val="99"/>
    <w:rsid w:val="00E90DC9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rsid w:val="00E90DC9"/>
    <w:pPr>
      <w:spacing w:before="120"/>
      <w:jc w:val="both"/>
    </w:pPr>
    <w:rPr>
      <w:rFonts w:ascii="Arial" w:hAnsi="Arial" w:cs="Arial"/>
      <w:sz w:val="22"/>
      <w:szCs w:val="22"/>
      <w:lang w:val="en-GB"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90DC9"/>
    <w:rPr>
      <w:rFonts w:ascii="Arial" w:eastAsia="Times New Roman" w:hAnsi="Arial" w:cs="Arial"/>
      <w:kern w:val="0"/>
      <w:lang w:val="en-GB" w:eastAsia="zh-CN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0B5B03"/>
    <w:rPr>
      <w:color w:val="605E5C"/>
      <w:shd w:val="clear" w:color="auto" w:fill="E1DFDD"/>
    </w:rPr>
  </w:style>
  <w:style w:type="paragraph" w:customStyle="1" w:styleId="p">
    <w:name w:val="p"/>
    <w:basedOn w:val="Navaden"/>
    <w:rsid w:val="0082182B"/>
    <w:pPr>
      <w:spacing w:before="60" w:after="15"/>
      <w:ind w:left="15" w:right="15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customStyle="1" w:styleId="t">
    <w:name w:val="t"/>
    <w:basedOn w:val="Navaden"/>
    <w:rsid w:val="008D33FB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D16239"/>
    <w:pPr>
      <w:ind w:left="720"/>
      <w:contextualSpacing/>
    </w:pPr>
  </w:style>
  <w:style w:type="paragraph" w:styleId="Revizija">
    <w:name w:val="Revision"/>
    <w:hidden/>
    <w:uiPriority w:val="99"/>
    <w:semiHidden/>
    <w:rsid w:val="00B66C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E362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362E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362E3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62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62E3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si/drzavni-organi/ministrstva/ministrstvo-za-kmetijstvo-gozdarstvo-in-prehra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Miletić</dc:creator>
  <cp:keywords/>
  <dc:description/>
  <cp:lastModifiedBy>Eva Perko - Občina Trebnje</cp:lastModifiedBy>
  <cp:revision>4</cp:revision>
  <cp:lastPrinted>2026-07-13T06:24:00Z</cp:lastPrinted>
  <dcterms:created xsi:type="dcterms:W3CDTF">2026-07-16T05:37:00Z</dcterms:created>
  <dcterms:modified xsi:type="dcterms:W3CDTF">2026-07-16T10:56:00Z</dcterms:modified>
</cp:coreProperties>
</file>